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D85C8" w14:textId="05BE93FB" w:rsidR="00432572" w:rsidRPr="00122B8B" w:rsidRDefault="00432572" w:rsidP="00432572">
      <w:pPr>
        <w:pStyle w:val="3GPPHeader"/>
        <w:spacing w:after="60"/>
        <w:rPr>
          <w:sz w:val="32"/>
          <w:szCs w:val="32"/>
          <w:highlight w:val="yellow"/>
          <w:lang w:val="de-DE"/>
        </w:rPr>
      </w:pPr>
      <w:r w:rsidRPr="00122B8B">
        <w:rPr>
          <w:lang w:val="de-DE"/>
        </w:rPr>
        <w:t>3GPP TSG-RAN WG</w:t>
      </w:r>
      <w:r>
        <w:rPr>
          <w:lang w:val="de-DE"/>
        </w:rPr>
        <w:t>1</w:t>
      </w:r>
      <w:r w:rsidRPr="00122B8B">
        <w:rPr>
          <w:lang w:val="de-DE"/>
        </w:rPr>
        <w:t xml:space="preserve"> #</w:t>
      </w:r>
      <w:r>
        <w:rPr>
          <w:lang w:val="de-DE"/>
        </w:rPr>
        <w:t>84</w:t>
      </w:r>
      <w:r w:rsidRPr="00122B8B">
        <w:rPr>
          <w:lang w:val="de-DE"/>
        </w:rPr>
        <w:t>bis</w:t>
      </w:r>
      <w:r w:rsidRPr="00122B8B">
        <w:rPr>
          <w:lang w:val="de-DE"/>
        </w:rPr>
        <w:tab/>
      </w:r>
      <w:r w:rsidRPr="00122B8B">
        <w:rPr>
          <w:sz w:val="32"/>
          <w:szCs w:val="32"/>
          <w:lang w:val="de-DE"/>
        </w:rPr>
        <w:t xml:space="preserve">Tdoc </w:t>
      </w:r>
      <w:r w:rsidRPr="00BC2728">
        <w:rPr>
          <w:sz w:val="32"/>
          <w:szCs w:val="32"/>
          <w:lang w:val="de-DE"/>
        </w:rPr>
        <w:t>R1-16324</w:t>
      </w:r>
      <w:r>
        <w:rPr>
          <w:sz w:val="32"/>
          <w:szCs w:val="32"/>
          <w:lang w:val="de-DE"/>
        </w:rPr>
        <w:t>3</w:t>
      </w:r>
    </w:p>
    <w:p w14:paraId="65323374" w14:textId="77777777" w:rsidR="00432572" w:rsidRPr="00FD75F9" w:rsidRDefault="00432572" w:rsidP="00432572">
      <w:pPr>
        <w:pStyle w:val="3GPPHeader"/>
        <w:rPr>
          <w:lang w:val="en-US"/>
        </w:rPr>
      </w:pPr>
      <w:r w:rsidRPr="00FD75F9">
        <w:rPr>
          <w:lang w:val="en-US"/>
        </w:rPr>
        <w:t>Busan, South Korea, April 11 – 15, 2016</w:t>
      </w:r>
    </w:p>
    <w:p w14:paraId="51ECD543" w14:textId="77777777" w:rsidR="00432572" w:rsidRPr="00FD75F9" w:rsidRDefault="00432572" w:rsidP="00432572">
      <w:pPr>
        <w:pStyle w:val="3GPPHeader"/>
        <w:rPr>
          <w:sz w:val="22"/>
          <w:szCs w:val="22"/>
          <w:lang w:val="en-US"/>
        </w:rPr>
      </w:pPr>
    </w:p>
    <w:p w14:paraId="05BE494E" w14:textId="77777777" w:rsidR="00432572" w:rsidRPr="00FD75F9" w:rsidRDefault="00432572" w:rsidP="00432572">
      <w:pPr>
        <w:pStyle w:val="3GPPHeader"/>
        <w:rPr>
          <w:sz w:val="22"/>
          <w:szCs w:val="22"/>
          <w:lang w:val="en-US"/>
        </w:rPr>
      </w:pPr>
      <w:r w:rsidRPr="00FD75F9">
        <w:rPr>
          <w:sz w:val="22"/>
          <w:szCs w:val="22"/>
          <w:lang w:val="en-US"/>
        </w:rPr>
        <w:t>Agenda Item:</w:t>
      </w:r>
      <w:r w:rsidRPr="00FD75F9">
        <w:rPr>
          <w:sz w:val="22"/>
          <w:szCs w:val="22"/>
          <w:lang w:val="en-US"/>
        </w:rPr>
        <w:tab/>
        <w:t>8.1.7</w:t>
      </w:r>
    </w:p>
    <w:p w14:paraId="7F72487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28E1861F" w:rsidR="00E90E49" w:rsidRPr="00CE0424" w:rsidRDefault="003D3C45" w:rsidP="00311702">
      <w:pPr>
        <w:pStyle w:val="3GPPHeader"/>
        <w:rPr>
          <w:sz w:val="22"/>
          <w:szCs w:val="22"/>
        </w:rPr>
      </w:pPr>
      <w:r>
        <w:rPr>
          <w:sz w:val="22"/>
          <w:szCs w:val="22"/>
        </w:rPr>
        <w:t>Title:</w:t>
      </w:r>
      <w:r w:rsidR="00E90E49" w:rsidRPr="00CE0424">
        <w:rPr>
          <w:sz w:val="22"/>
          <w:szCs w:val="22"/>
        </w:rPr>
        <w:tab/>
      </w:r>
      <w:r w:rsidR="00341DAD" w:rsidRPr="00341DAD">
        <w:rPr>
          <w:sz w:val="22"/>
          <w:szCs w:val="22"/>
        </w:rPr>
        <w:t>Supporting unlicensed spectrum</w:t>
      </w:r>
      <w:r w:rsidR="00357CBD">
        <w:rPr>
          <w:sz w:val="22"/>
          <w:szCs w:val="22"/>
        </w:rPr>
        <w:t xml:space="preserve"> in NR</w:t>
      </w:r>
    </w:p>
    <w:p w14:paraId="545B23AE" w14:textId="77777777" w:rsidR="00E90E49" w:rsidRPr="00CE0424" w:rsidRDefault="00E90E49" w:rsidP="00D546FF">
      <w:pPr>
        <w:pStyle w:val="3GPPHeader"/>
        <w:rPr>
          <w:sz w:val="22"/>
          <w:szCs w:val="22"/>
        </w:rPr>
      </w:pPr>
      <w:r w:rsidRPr="000C6956">
        <w:rPr>
          <w:sz w:val="22"/>
          <w:szCs w:val="22"/>
        </w:rPr>
        <w:t>Document for:</w:t>
      </w:r>
      <w:r w:rsidRPr="000C6956">
        <w:rPr>
          <w:sz w:val="22"/>
          <w:szCs w:val="22"/>
        </w:rPr>
        <w:tab/>
        <w:t>Discussion, Decision</w:t>
      </w:r>
    </w:p>
    <w:p w14:paraId="4774A3FA" w14:textId="77777777" w:rsidR="00E90E49" w:rsidRPr="00CE0424" w:rsidRDefault="00E90E49" w:rsidP="00E90E49"/>
    <w:p w14:paraId="60C37886" w14:textId="77777777" w:rsidR="00E90E49" w:rsidRPr="00CE0424" w:rsidRDefault="00E90E49" w:rsidP="00CE0424">
      <w:pPr>
        <w:pStyle w:val="Heading1"/>
      </w:pPr>
      <w:r w:rsidRPr="00CE0424">
        <w:t>Introduction</w:t>
      </w:r>
    </w:p>
    <w:p w14:paraId="3D275C3B" w14:textId="77777777" w:rsidR="00527763" w:rsidRDefault="00527763" w:rsidP="00527763">
      <w:pPr>
        <w:pStyle w:val="BodyText"/>
      </w:pPr>
      <w:r>
        <w:t>While we believe that unlicensed spectrum cannot support all kinds of services, use cases and deployments, we consider it vital to ensure that a new and future proof radio interface aims to utilize unlicensed spectrum as efficiently as possible.</w:t>
      </w:r>
    </w:p>
    <w:p w14:paraId="6213DBE9" w14:textId="32B7BB6D" w:rsidR="00977809" w:rsidRDefault="00E273A1" w:rsidP="00977809">
      <w:pPr>
        <w:pStyle w:val="BodyText"/>
      </w:pPr>
      <w:r>
        <w:t>In this paper</w:t>
      </w:r>
      <w:r w:rsidR="00BD2543">
        <w:t>,</w:t>
      </w:r>
      <w:r>
        <w:t xml:space="preserve"> we reflect on the int</w:t>
      </w:r>
      <w:r w:rsidR="00BD2543">
        <w:t>roduction of LAA in LTE and present</w:t>
      </w:r>
      <w:r>
        <w:t xml:space="preserve"> examples </w:t>
      </w:r>
      <w:r w:rsidR="00BD2543">
        <w:t xml:space="preserve">showing </w:t>
      </w:r>
      <w:r>
        <w:t xml:space="preserve">why it is </w:t>
      </w:r>
      <w:r w:rsidR="00EB24AB">
        <w:t xml:space="preserve">advisable </w:t>
      </w:r>
      <w:r>
        <w:t xml:space="preserve">to </w:t>
      </w:r>
      <w:r w:rsidR="00EB24AB">
        <w:t xml:space="preserve">consider the </w:t>
      </w:r>
      <w:r w:rsidR="00172199">
        <w:t>particular</w:t>
      </w:r>
      <w:r w:rsidR="00EB24AB">
        <w:t xml:space="preserve"> demands </w:t>
      </w:r>
      <w:r w:rsidR="00172199">
        <w:t>for</w:t>
      </w:r>
      <w:r w:rsidR="00EB24AB">
        <w:t xml:space="preserve"> operation in </w:t>
      </w:r>
      <w:r>
        <w:t xml:space="preserve">unlicensed spectrum already in the initial design </w:t>
      </w:r>
      <w:r w:rsidR="00EB24AB">
        <w:t xml:space="preserve">of </w:t>
      </w:r>
      <w:r>
        <w:t xml:space="preserve">a new radio interface.  </w:t>
      </w:r>
    </w:p>
    <w:p w14:paraId="2B0947A7" w14:textId="77777777" w:rsidR="004000E8" w:rsidRDefault="004000E8" w:rsidP="00CE0424">
      <w:pPr>
        <w:pStyle w:val="Heading1"/>
      </w:pPr>
      <w:bookmarkStart w:id="0" w:name="_Ref178064866"/>
      <w:r w:rsidRPr="00CE0424">
        <w:t>Discussion</w:t>
      </w:r>
      <w:bookmarkEnd w:id="0"/>
    </w:p>
    <w:p w14:paraId="3852ECBC" w14:textId="6A61CA25" w:rsidR="00977809" w:rsidRDefault="00804F22" w:rsidP="00804F22">
      <w:pPr>
        <w:pStyle w:val="Heading2"/>
      </w:pPr>
      <w:r>
        <w:t>Spectrum Situation</w:t>
      </w:r>
    </w:p>
    <w:p w14:paraId="4D991937" w14:textId="3375CB08" w:rsidR="000733E7" w:rsidRDefault="00645407" w:rsidP="00816BC0">
      <w:pPr>
        <w:pStyle w:val="BodyText"/>
      </w:pPr>
      <w:r>
        <w:t>To a certain degree t</w:t>
      </w:r>
      <w:r w:rsidR="00816BC0">
        <w:t xml:space="preserve">he continuously increasing demand for higher network capacity can be addressed by denser deployments and multi-antenna systems. </w:t>
      </w:r>
      <w:r>
        <w:t xml:space="preserve">But beyond that, additional spectrum is necessary to </w:t>
      </w:r>
      <w:r w:rsidR="005A5C6D">
        <w:t xml:space="preserve">satisfy the capacity and throughput </w:t>
      </w:r>
      <w:r w:rsidR="00106F64">
        <w:t xml:space="preserve">needed for </w:t>
      </w:r>
      <w:r w:rsidR="005A5C6D">
        <w:t>data hungry application</w:t>
      </w:r>
      <w:r w:rsidR="00106F64">
        <w:t>s</w:t>
      </w:r>
      <w:r w:rsidR="005A5C6D">
        <w:t xml:space="preserve">. </w:t>
      </w:r>
    </w:p>
    <w:p w14:paraId="2AA09514" w14:textId="185A2431" w:rsidR="005A5C6D" w:rsidRDefault="00CA4340" w:rsidP="00816BC0">
      <w:pPr>
        <w:pStyle w:val="BodyText"/>
      </w:pPr>
      <w:r>
        <w:t>As of today</w:t>
      </w:r>
      <w:r w:rsidR="00592B9F">
        <w:t>,</w:t>
      </w:r>
      <w:r>
        <w:t xml:space="preserve"> operators use primarily licensed spectrum</w:t>
      </w:r>
      <w:r w:rsidR="00106F64">
        <w:t xml:space="preserve"> for their wide area networks</w:t>
      </w:r>
      <w:r>
        <w:t xml:space="preserve">. The </w:t>
      </w:r>
      <w:r w:rsidR="00106F64">
        <w:t xml:space="preserve">license </w:t>
      </w:r>
      <w:r>
        <w:t xml:space="preserve">costs are significant but on the other hand, the licensed spectrum </w:t>
      </w:r>
      <w:r w:rsidR="002C05EE">
        <w:t xml:space="preserve">permits high transmission power, </w:t>
      </w:r>
      <w:r>
        <w:t>accurate cell planning</w:t>
      </w:r>
      <w:r w:rsidR="002C05EE">
        <w:t xml:space="preserve"> and full frequency re-use without the need to apply schemes like Listen-Before-Talk</w:t>
      </w:r>
      <w:r>
        <w:t>. This ensure</w:t>
      </w:r>
      <w:r w:rsidR="00BD2543">
        <w:t>s good coverage even in areas with</w:t>
      </w:r>
      <w:r>
        <w:t xml:space="preserve"> </w:t>
      </w:r>
      <w:r w:rsidR="00106F64">
        <w:t>sparse</w:t>
      </w:r>
      <w:r>
        <w:t xml:space="preserve"> deployments. The exclusive use of the spectrum minimizes the risk of delay spikes and maximizes the capacity. </w:t>
      </w:r>
    </w:p>
    <w:p w14:paraId="0F1B20A2" w14:textId="27358526" w:rsidR="00AF5C20" w:rsidRDefault="00435EB4" w:rsidP="00AF5C20">
      <w:pPr>
        <w:pStyle w:val="BodyText"/>
      </w:pPr>
      <w:r>
        <w:t>In particular Wi-Fi</w:t>
      </w:r>
      <w:r w:rsidR="00325D8B">
        <w:t>,</w:t>
      </w:r>
      <w:r>
        <w:t xml:space="preserve"> but nowadays also LTE License Assisted Access </w:t>
      </w:r>
      <w:r w:rsidR="00106F64">
        <w:t>(LAA)</w:t>
      </w:r>
      <w:r w:rsidR="00325D8B">
        <w:t>,</w:t>
      </w:r>
      <w:r w:rsidR="00106F64">
        <w:t xml:space="preserve"> </w:t>
      </w:r>
      <w:r>
        <w:t xml:space="preserve">uses unlicensed spectrum. Without license fees, such technologies permit access to wide frequency bands. But of course, there is no such thing as a free lunch: </w:t>
      </w:r>
      <w:r w:rsidR="00AF5C20">
        <w:t>A device (base station or terminal) must ensure fair access to the spectrum. In 2.4 and 5 GHz ISM bands this is typically achieved by so-called “listen before talk” (LBT). Energy detection just before a planned transmission burst may reveal that the spectrum is already used by another device. Various back-off schemes are supposed to keep access delay short while making the spectrum sharing fair. Nevertheless, delay spikes and inefficient spectrum utilization can be observed when load increases and when too many systems (access points) operate in the same coverage are</w:t>
      </w:r>
      <w:r w:rsidR="00592B9F">
        <w:t>a</w:t>
      </w:r>
      <w:r w:rsidR="00AF5C20">
        <w:t xml:space="preserve"> on the same carrier frequency. LBT schemes are known to work quite well at relatively low transmit power levels</w:t>
      </w:r>
      <w:r w:rsidR="00BD2543">
        <w:t xml:space="preserve"> and when the </w:t>
      </w:r>
      <w:r w:rsidR="000A7094">
        <w:t>transmit powers of all devices are similar</w:t>
      </w:r>
      <w:r w:rsidR="00AF5C20">
        <w:t xml:space="preserve">. Correspondingly, the </w:t>
      </w:r>
      <w:r>
        <w:t xml:space="preserve">maximum allowed transmit power in 2.4 and 5 GHz spectrum is restricted and also the power spectrum density that a device may use is limited. </w:t>
      </w:r>
    </w:p>
    <w:p w14:paraId="64AECB2A" w14:textId="6BA8E525" w:rsidR="00AF5C20" w:rsidRDefault="00AF5C20" w:rsidP="00AF5C20">
      <w:pPr>
        <w:pStyle w:val="BodyText"/>
      </w:pPr>
      <w:r>
        <w:t>Due to these characteristics unlicensed spectrum is a viable alternative for indoor</w:t>
      </w:r>
      <w:r w:rsidR="00010E2E">
        <w:t xml:space="preserve"> and localised</w:t>
      </w:r>
      <w:bookmarkStart w:id="1" w:name="_GoBack"/>
      <w:bookmarkEnd w:id="1"/>
      <w:r w:rsidR="00010E2E">
        <w:t xml:space="preserve"> outdoor</w:t>
      </w:r>
      <w:r>
        <w:t xml:space="preserve"> deployments provided that there are no too stringent requirements on latency variations</w:t>
      </w:r>
      <w:r w:rsidR="00BA3882">
        <w:t xml:space="preserve"> and that the cell density on a carrier is not too high</w:t>
      </w:r>
      <w:r>
        <w:t xml:space="preserve">. </w:t>
      </w:r>
      <w:r w:rsidR="00106F64">
        <w:t xml:space="preserve">However, </w:t>
      </w:r>
      <w:r w:rsidR="000A7094">
        <w:t xml:space="preserve">for wide area deployments, </w:t>
      </w:r>
      <w:r w:rsidR="00BA3882">
        <w:t xml:space="preserve">when high system capacity and cell density </w:t>
      </w:r>
      <w:r w:rsidR="00EA5319">
        <w:t xml:space="preserve">is needed </w:t>
      </w:r>
      <w:r w:rsidR="000A7094">
        <w:t xml:space="preserve">and when </w:t>
      </w:r>
      <w:r w:rsidR="00EA5319">
        <w:t>latency requirements</w:t>
      </w:r>
      <w:r w:rsidR="000A7094">
        <w:t xml:space="preserve"> are stringent</w:t>
      </w:r>
      <w:r w:rsidR="00EA5319">
        <w:t xml:space="preserve">, licensed spectrum is required. The combination of licensed and unlicensed spectrum (so-called license assisted access) can benefit from the additional capacity enabled by unlicensed spectrum while using the licensed spectrum to offer predictable latency for services that need it. </w:t>
      </w:r>
    </w:p>
    <w:p w14:paraId="58B6B6C8" w14:textId="77777777" w:rsidR="00EA5319" w:rsidRDefault="00EA5319" w:rsidP="00EA5319">
      <w:pPr>
        <w:pStyle w:val="Observation"/>
      </w:pPr>
      <w:bookmarkStart w:id="2" w:name="_Toc444271171"/>
      <w:bookmarkStart w:id="3" w:name="_Toc444271722"/>
      <w:bookmarkStart w:id="4" w:name="_Toc444272790"/>
      <w:bookmarkStart w:id="5" w:name="_Toc444505015"/>
      <w:bookmarkStart w:id="6" w:name="_Toc444505255"/>
      <w:bookmarkStart w:id="7" w:name="_Toc444514693"/>
      <w:bookmarkStart w:id="8" w:name="_Toc444782927"/>
      <w:bookmarkStart w:id="9" w:name="_Toc446083722"/>
      <w:bookmarkStart w:id="10" w:name="_Toc446083752"/>
      <w:bookmarkStart w:id="11" w:name="_Toc446083761"/>
      <w:bookmarkStart w:id="12" w:name="_Toc446083859"/>
      <w:bookmarkStart w:id="13" w:name="_Toc447288554"/>
      <w:bookmarkStart w:id="14" w:name="_Toc447290534"/>
      <w:r>
        <w:lastRenderedPageBreak/>
        <w:t>Unlicensed spectrum cannot substitute licensed spectrum for all use cases, services and deployments due to e.g. reduced reliability, less predictable latency and lower transmit power (resulting in lower coverage).</w:t>
      </w:r>
      <w:bookmarkEnd w:id="2"/>
      <w:bookmarkEnd w:id="3"/>
      <w:bookmarkEnd w:id="4"/>
      <w:bookmarkEnd w:id="5"/>
      <w:bookmarkEnd w:id="6"/>
      <w:bookmarkEnd w:id="7"/>
      <w:bookmarkEnd w:id="8"/>
      <w:bookmarkEnd w:id="9"/>
      <w:bookmarkEnd w:id="10"/>
      <w:bookmarkEnd w:id="11"/>
      <w:bookmarkEnd w:id="12"/>
      <w:bookmarkEnd w:id="13"/>
      <w:bookmarkEnd w:id="14"/>
    </w:p>
    <w:p w14:paraId="5ED8E04D" w14:textId="07D447AB" w:rsidR="00EE2C67" w:rsidRDefault="00EE2C67" w:rsidP="008B1719">
      <w:pPr>
        <w:pStyle w:val="BodyText"/>
      </w:pPr>
      <w:r>
        <w:t xml:space="preserve">Nevertheless, unlicensed spectrum is suitable for several use cases and deployments and it may enable new use </w:t>
      </w:r>
      <w:proofErr w:type="gramStart"/>
      <w:r>
        <w:t>cases for which licensed spectrum is</w:t>
      </w:r>
      <w:proofErr w:type="gramEnd"/>
      <w:r>
        <w:t xml:space="preserve"> not applicable or not available.</w:t>
      </w:r>
      <w:r w:rsidR="00D8157E">
        <w:t xml:space="preserve"> For </w:t>
      </w:r>
      <w:r w:rsidR="00432572">
        <w:t xml:space="preserve">example, for </w:t>
      </w:r>
      <w:r w:rsidR="00D8157E">
        <w:t xml:space="preserve">“factory automation” </w:t>
      </w:r>
      <w:r w:rsidR="00B1259B">
        <w:t xml:space="preserve">and “enterprise deployment” </w:t>
      </w:r>
      <w:r w:rsidR="00D8157E">
        <w:t xml:space="preserve">the need for licensed spectrum may often be considered as </w:t>
      </w:r>
      <w:r w:rsidR="00E433D4">
        <w:t xml:space="preserve">a </w:t>
      </w:r>
      <w:r w:rsidR="00D8157E">
        <w:t>show-stopper. On the other hand, support of unlicensed or share</w:t>
      </w:r>
      <w:r w:rsidR="00E433D4">
        <w:t>d</w:t>
      </w:r>
      <w:r w:rsidR="00D8157E">
        <w:t xml:space="preserve">-licensed spectrum will be a “door-opener” for such industry applications – even if in many cases the </w:t>
      </w:r>
      <w:r w:rsidR="00B1259B">
        <w:t xml:space="preserve">final </w:t>
      </w:r>
      <w:r w:rsidR="00D8157E">
        <w:t xml:space="preserve">choice could be for licensed spectrum (e.g. hosted by an operator) anyway due to the above-mentioned benefits. </w:t>
      </w:r>
    </w:p>
    <w:p w14:paraId="3C3B0BD0" w14:textId="1CAD6C74" w:rsidR="00203B5D" w:rsidRDefault="00203B5D" w:rsidP="00203B5D">
      <w:pPr>
        <w:pStyle w:val="Observation"/>
      </w:pPr>
      <w:bookmarkStart w:id="15" w:name="_Toc446083723"/>
      <w:bookmarkStart w:id="16" w:name="_Toc446083753"/>
      <w:bookmarkStart w:id="17" w:name="_Toc446083762"/>
      <w:bookmarkStart w:id="18" w:name="_Toc446083860"/>
      <w:bookmarkStart w:id="19" w:name="_Toc447288555"/>
      <w:bookmarkStart w:id="20" w:name="_Toc447290535"/>
      <w:r>
        <w:t>U</w:t>
      </w:r>
      <w:r w:rsidRPr="00203B5D">
        <w:t xml:space="preserve">nlicensed spectrum is suitable for </w:t>
      </w:r>
      <w:r>
        <w:t xml:space="preserve">many services </w:t>
      </w:r>
      <w:r w:rsidRPr="00203B5D">
        <w:t>and deploy</w:t>
      </w:r>
      <w:r w:rsidR="00702AC5">
        <w:t>ments and it may enable new use-</w:t>
      </w:r>
      <w:r w:rsidRPr="00203B5D">
        <w:t>cases for which licensed spectrum is not applicable or not available</w:t>
      </w:r>
      <w:bookmarkEnd w:id="15"/>
      <w:r>
        <w:t>.</w:t>
      </w:r>
      <w:bookmarkEnd w:id="16"/>
      <w:bookmarkEnd w:id="17"/>
      <w:bookmarkEnd w:id="18"/>
      <w:bookmarkEnd w:id="19"/>
      <w:bookmarkEnd w:id="20"/>
    </w:p>
    <w:p w14:paraId="5CB69825" w14:textId="4E4CE39C" w:rsidR="00EF62CF" w:rsidRDefault="00EF62CF" w:rsidP="008B1719">
      <w:pPr>
        <w:pStyle w:val="BodyText"/>
      </w:pPr>
      <w:r>
        <w:t xml:space="preserve">Beyond the 5 GHz band the next band available for mobile communication is currently at about 60 GHz. Also that band is classified as “unlicensed”. </w:t>
      </w:r>
      <w:r w:rsidR="008B1719">
        <w:t>B</w:t>
      </w:r>
      <w:r>
        <w:t xml:space="preserve">ands in between 5 and 60 GHz are subject to ongoing regulatory discussions. </w:t>
      </w:r>
      <w:r w:rsidRPr="006F483E">
        <w:fldChar w:fldCharType="begin"/>
      </w:r>
      <w:r w:rsidRPr="006F483E">
        <w:instrText xml:space="preserve"> </w:instrText>
      </w:r>
      <w:r w:rsidRPr="006F483E">
        <w:rPr>
          <w:rFonts w:hint="eastAsia"/>
        </w:rPr>
        <w:instrText>REF _Ref444259399 \h</w:instrText>
      </w:r>
      <w:r w:rsidRPr="006F483E">
        <w:instrText xml:space="preserve"> </w:instrText>
      </w:r>
      <w:r>
        <w:instrText xml:space="preserve"> \* MERGEFORMAT </w:instrText>
      </w:r>
      <w:r w:rsidRPr="006F483E">
        <w:fldChar w:fldCharType="separate"/>
      </w:r>
      <w:r w:rsidR="000F1A05">
        <w:t>Figure 1</w:t>
      </w:r>
      <w:r w:rsidRPr="006F483E">
        <w:fldChar w:fldCharType="end"/>
      </w:r>
      <w:r>
        <w:t xml:space="preserve"> depicts the spectrum situation for 5 and 60 GHz in more detail</w:t>
      </w:r>
      <w:r w:rsidRPr="006F483E">
        <w:rPr>
          <w:rFonts w:hint="eastAsia"/>
        </w:rPr>
        <w:t xml:space="preserve">. </w:t>
      </w:r>
    </w:p>
    <w:p w14:paraId="63F7A3B9" w14:textId="74351E76" w:rsidR="00EF62CF" w:rsidRPr="006F483E" w:rsidRDefault="000C6956" w:rsidP="00EF62CF">
      <w:pPr>
        <w:pStyle w:val="Observation"/>
      </w:pPr>
      <w:bookmarkStart w:id="21" w:name="_Toc444520363"/>
      <w:bookmarkStart w:id="22" w:name="_Toc444534223"/>
      <w:bookmarkStart w:id="23" w:name="_Toc446083725"/>
      <w:bookmarkStart w:id="24" w:name="_Toc446083755"/>
      <w:bookmarkStart w:id="25" w:name="_Toc446083764"/>
      <w:bookmarkStart w:id="26" w:name="_Toc446083861"/>
      <w:bookmarkStart w:id="27" w:name="_Toc447288556"/>
      <w:bookmarkStart w:id="28" w:name="_Toc447290536"/>
      <w:r>
        <w:t xml:space="preserve">Wide allocations </w:t>
      </w:r>
      <w:r w:rsidRPr="006F483E">
        <w:t>of unlicensed spectrum are</w:t>
      </w:r>
      <w:r w:rsidR="00EF62CF" w:rsidRPr="006F483E">
        <w:t xml:space="preserve"> available gl</w:t>
      </w:r>
      <w:r w:rsidR="00E433D4">
        <w:t>obally with different regulatory</w:t>
      </w:r>
      <w:r w:rsidR="00EF62CF" w:rsidRPr="006F483E">
        <w:t xml:space="preserve"> requirements</w:t>
      </w:r>
      <w:bookmarkEnd w:id="21"/>
      <w:bookmarkEnd w:id="22"/>
      <w:r w:rsidR="00EF62CF">
        <w:t>.</w:t>
      </w:r>
      <w:bookmarkEnd w:id="23"/>
      <w:bookmarkEnd w:id="24"/>
      <w:bookmarkEnd w:id="25"/>
      <w:bookmarkEnd w:id="26"/>
      <w:bookmarkEnd w:id="27"/>
      <w:bookmarkEnd w:id="28"/>
    </w:p>
    <w:p w14:paraId="78BFBEEC" w14:textId="77777777" w:rsidR="00EF62CF" w:rsidRPr="00350271" w:rsidRDefault="00EF62CF" w:rsidP="008B1719">
      <w:pPr>
        <w:pStyle w:val="BodyText"/>
        <w:rPr>
          <w:lang w:val="en-US"/>
        </w:rPr>
      </w:pPr>
    </w:p>
    <w:p w14:paraId="4C77F789" w14:textId="77777777" w:rsidR="008B1719" w:rsidRDefault="008B1719" w:rsidP="008B1719">
      <w:pPr>
        <w:pStyle w:val="Figure"/>
      </w:pPr>
      <w:r>
        <w:rPr>
          <w:noProof/>
          <w:lang w:val="en-US" w:eastAsia="en-US"/>
        </w:rPr>
        <w:drawing>
          <wp:inline distT="0" distB="0" distL="0" distR="0" wp14:anchorId="67B65CDB" wp14:editId="5A1538F7">
            <wp:extent cx="6089650" cy="1519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9089" cy="1522109"/>
                    </a:xfrm>
                    <a:prstGeom prst="rect">
                      <a:avLst/>
                    </a:prstGeom>
                    <a:noFill/>
                  </pic:spPr>
                </pic:pic>
              </a:graphicData>
            </a:graphic>
          </wp:inline>
        </w:drawing>
      </w:r>
    </w:p>
    <w:p w14:paraId="43580FB3" w14:textId="77777777" w:rsidR="000F1A05" w:rsidRDefault="008B1719" w:rsidP="008B1719">
      <w:pPr>
        <w:pStyle w:val="Caption"/>
      </w:pPr>
      <w:bookmarkStart w:id="29" w:name="_Ref444259399"/>
      <w:r>
        <w:t xml:space="preserve">Figure </w:t>
      </w:r>
      <w:r>
        <w:fldChar w:fldCharType="begin"/>
      </w:r>
      <w:r>
        <w:instrText xml:space="preserve"> SEQ Figure \* ARABIC </w:instrText>
      </w:r>
      <w:r>
        <w:fldChar w:fldCharType="separate"/>
      </w:r>
      <w:r w:rsidR="000F1A05">
        <w:rPr>
          <w:noProof/>
        </w:rPr>
        <w:t>1</w:t>
      </w:r>
      <w:r>
        <w:fldChar w:fldCharType="end"/>
      </w:r>
      <w:bookmarkEnd w:id="29"/>
      <w:r w:rsidR="000C6956">
        <w:t>:</w:t>
      </w:r>
      <w:r>
        <w:tab/>
      </w:r>
      <w:r>
        <w:rPr>
          <w:rFonts w:hint="eastAsia"/>
        </w:rPr>
        <w:t>Unlicensed band</w:t>
      </w:r>
      <w:r w:rsidR="000C6956">
        <w:t>s</w:t>
      </w:r>
      <w:r>
        <w:rPr>
          <w:rFonts w:hint="eastAsia"/>
        </w:rPr>
        <w:t xml:space="preserve"> </w:t>
      </w:r>
      <w:r w:rsidR="000C6956">
        <w:t>in</w:t>
      </w:r>
      <w:r>
        <w:rPr>
          <w:rFonts w:hint="eastAsia"/>
        </w:rPr>
        <w:t xml:space="preserve"> 5</w:t>
      </w:r>
      <w:r w:rsidR="000C6956">
        <w:t xml:space="preserve"> </w:t>
      </w:r>
      <w:r>
        <w:rPr>
          <w:rFonts w:hint="eastAsia"/>
        </w:rPr>
        <w:t>GHz and 60</w:t>
      </w:r>
      <w:r w:rsidR="000C6956">
        <w:t xml:space="preserve"> </w:t>
      </w:r>
      <w:r>
        <w:rPr>
          <w:rFonts w:hint="eastAsia"/>
        </w:rPr>
        <w:t>GHz in different regions</w:t>
      </w:r>
    </w:p>
    <w:p w14:paraId="249F3F69" w14:textId="5CBCF3AE" w:rsidR="00AB42D1" w:rsidRDefault="008B1719" w:rsidP="000C6956">
      <w:pPr>
        <w:pStyle w:val="BodyText"/>
      </w:pPr>
      <w:r>
        <w:t>A</w:t>
      </w:r>
      <w:r w:rsidR="000142CC">
        <w:t xml:space="preserve"> prerequisite for utilizing </w:t>
      </w:r>
      <w:r>
        <w:t xml:space="preserve">unlicensed spectrum is that the radio interface fulfils the applicable requirements, </w:t>
      </w:r>
      <w:r w:rsidR="000142CC">
        <w:t>covering, for example,</w:t>
      </w:r>
    </w:p>
    <w:p w14:paraId="1683E231" w14:textId="33F8AA14" w:rsidR="00AB42D1" w:rsidRDefault="00AB42D1" w:rsidP="000C6956">
      <w:pPr>
        <w:pStyle w:val="ListBullet"/>
      </w:pPr>
      <w:r>
        <w:t>limits on the TX power and power spectrum density as well as power control mechanisms,</w:t>
      </w:r>
    </w:p>
    <w:p w14:paraId="1E55CA3E" w14:textId="65FAF4BA" w:rsidR="00AB42D1" w:rsidRDefault="00AB42D1" w:rsidP="000C6956">
      <w:pPr>
        <w:pStyle w:val="ListBullet"/>
      </w:pPr>
      <w:r>
        <w:t>requirements on minimum and/or maximum carrier bandwidth,</w:t>
      </w:r>
    </w:p>
    <w:p w14:paraId="2DAB6332" w14:textId="6E3C215B" w:rsidR="00AB42D1" w:rsidRDefault="00AB42D1" w:rsidP="000C6956">
      <w:pPr>
        <w:pStyle w:val="ListBullet"/>
      </w:pPr>
      <w:r w:rsidRPr="00AB42D1">
        <w:t>dynamic frequency selection (DFS)</w:t>
      </w:r>
      <w:r>
        <w:t>,</w:t>
      </w:r>
    </w:p>
    <w:p w14:paraId="61A7EC33" w14:textId="006FE168" w:rsidR="00AB42D1" w:rsidRDefault="00AB42D1" w:rsidP="000C6956">
      <w:pPr>
        <w:pStyle w:val="ListBullet"/>
      </w:pPr>
      <w:proofErr w:type="gramStart"/>
      <w:r>
        <w:t>fair</w:t>
      </w:r>
      <w:proofErr w:type="gramEnd"/>
      <w:r>
        <w:t xml:space="preserve"> coexistence (typical</w:t>
      </w:r>
      <w:r w:rsidR="000142CC">
        <w:t>ly achieved by carrier sensing (</w:t>
      </w:r>
      <w:r>
        <w:t>LBT</w:t>
      </w:r>
      <w:r w:rsidR="000142CC">
        <w:t>)</w:t>
      </w:r>
      <w:r>
        <w:t>).</w:t>
      </w:r>
    </w:p>
    <w:p w14:paraId="27ACBB97" w14:textId="62B97583" w:rsidR="000142CC" w:rsidRDefault="004C437E" w:rsidP="008B1719">
      <w:pPr>
        <w:pStyle w:val="BodyText"/>
      </w:pPr>
      <w:r>
        <w:t xml:space="preserve">In the scope of the 3GPP </w:t>
      </w:r>
      <w:r w:rsidRPr="004C437E">
        <w:t>Study on Licensed-Assisted Access</w:t>
      </w:r>
      <w:r>
        <w:t xml:space="preserve"> the </w:t>
      </w:r>
      <w:r w:rsidR="00A06300">
        <w:t xml:space="preserve">regulatory </w:t>
      </w:r>
      <w:r>
        <w:t xml:space="preserve">requirements for the 5 GHz band have been evaluated and </w:t>
      </w:r>
      <w:r w:rsidR="00374637">
        <w:t>collected</w:t>
      </w:r>
      <w:r>
        <w:t xml:space="preserve"> in </w:t>
      </w:r>
      <w:r>
        <w:fldChar w:fldCharType="begin"/>
      </w:r>
      <w:r>
        <w:instrText xml:space="preserve"> REF _Ref446078197 \n \h </w:instrText>
      </w:r>
      <w:r>
        <w:fldChar w:fldCharType="separate"/>
      </w:r>
      <w:r w:rsidR="000F1A05">
        <w:t>[1]</w:t>
      </w:r>
      <w:r>
        <w:fldChar w:fldCharType="end"/>
      </w:r>
      <w:r>
        <w:t>.</w:t>
      </w:r>
      <w:r w:rsidR="00E337CA">
        <w:t xml:space="preserve"> When introducing LAA</w:t>
      </w:r>
      <w:r w:rsidR="000142CC">
        <w:t xml:space="preserve"> in Rel-13 and 14, the requisite</w:t>
      </w:r>
      <w:r w:rsidR="00E337CA">
        <w:t xml:space="preserve"> functionality had to be added to an existing and well-established LTE design. </w:t>
      </w:r>
      <w:r w:rsidR="000142CC">
        <w:t xml:space="preserve">This resulted in certain </w:t>
      </w:r>
      <w:r w:rsidR="006552DE">
        <w:t xml:space="preserve">constraints </w:t>
      </w:r>
      <w:r w:rsidR="000142CC">
        <w:t xml:space="preserve">being imposed on the design for operation in unlicensed bands, especially since LTE was designed from the start with the goal of </w:t>
      </w:r>
      <w:r w:rsidR="006552DE">
        <w:t>operating in licensed spectrum where the concept of the spectrum not being available for transmission does not exist. With the design of a next generation radio access technology, there is an opportunity to develop a design that can function efficiently in licensed as well as unlicensed spectrum. This opportunity would be lost if the design was first substantially designed for licensed spectrum and then the design was modified to operate in unlicensed spectrum at a later stage. Furthermore, it is also important that the design considers different modes of operating in licensed spectrum right from the start, i.e., stand-alone and in combination with (or with assistance from) licensed spectrum.</w:t>
      </w:r>
    </w:p>
    <w:p w14:paraId="2D906BEE" w14:textId="026636EC" w:rsidR="005C7E0F" w:rsidRPr="005C7E0F" w:rsidRDefault="005C7E0F" w:rsidP="008B1719">
      <w:pPr>
        <w:pStyle w:val="Observation"/>
        <w:rPr>
          <w:lang w:val="en-US"/>
        </w:rPr>
      </w:pPr>
      <w:bookmarkStart w:id="30" w:name="_Toc444271170"/>
      <w:bookmarkStart w:id="31" w:name="_Toc444271721"/>
      <w:bookmarkStart w:id="32" w:name="_Toc444272789"/>
      <w:bookmarkStart w:id="33" w:name="_Toc444505016"/>
      <w:bookmarkStart w:id="34" w:name="_Toc444505256"/>
      <w:bookmarkStart w:id="35" w:name="_Toc444514694"/>
      <w:bookmarkStart w:id="36" w:name="_Toc444782928"/>
      <w:bookmarkStart w:id="37" w:name="_Toc446083724"/>
      <w:bookmarkStart w:id="38" w:name="_Toc446083754"/>
      <w:bookmarkStart w:id="39" w:name="_Toc446083763"/>
      <w:bookmarkStart w:id="40" w:name="_Toc446083862"/>
      <w:bookmarkStart w:id="41" w:name="_Toc447288557"/>
      <w:bookmarkStart w:id="42" w:name="_Toc447290537"/>
      <w:r w:rsidRPr="00977809">
        <w:t xml:space="preserve">Support of unlicensed </w:t>
      </w:r>
      <w:r>
        <w:t>spectrum</w:t>
      </w:r>
      <w:r w:rsidR="006552DE">
        <w:t>,</w:t>
      </w:r>
      <w:r>
        <w:t xml:space="preserve"> </w:t>
      </w:r>
      <w:r w:rsidRPr="00977809">
        <w:t xml:space="preserve">both stand-alone as well as in combination </w:t>
      </w:r>
      <w:r>
        <w:t>with licensed spectrum</w:t>
      </w:r>
      <w:r w:rsidR="006552DE">
        <w:t>,</w:t>
      </w:r>
      <w:r>
        <w:t xml:space="preserve"> </w:t>
      </w:r>
      <w:r w:rsidRPr="00977809">
        <w:t>is an essential requirement for the next generation radio access technology.</w:t>
      </w:r>
      <w:bookmarkEnd w:id="30"/>
      <w:bookmarkEnd w:id="31"/>
      <w:bookmarkEnd w:id="32"/>
      <w:bookmarkEnd w:id="33"/>
      <w:bookmarkEnd w:id="34"/>
      <w:bookmarkEnd w:id="35"/>
      <w:bookmarkEnd w:id="36"/>
      <w:bookmarkEnd w:id="37"/>
      <w:bookmarkEnd w:id="38"/>
      <w:bookmarkEnd w:id="39"/>
      <w:bookmarkEnd w:id="40"/>
      <w:bookmarkEnd w:id="41"/>
      <w:bookmarkEnd w:id="42"/>
    </w:p>
    <w:p w14:paraId="0DE1CBF6" w14:textId="6448D390" w:rsidR="00804F22" w:rsidRDefault="00804F22" w:rsidP="00804F22">
      <w:pPr>
        <w:pStyle w:val="Heading2"/>
      </w:pPr>
      <w:r>
        <w:lastRenderedPageBreak/>
        <w:t>Lesson learned in LTE</w:t>
      </w:r>
    </w:p>
    <w:p w14:paraId="2A5A4654" w14:textId="5BB2EC04" w:rsidR="00804F22" w:rsidRDefault="00A85976" w:rsidP="00A85976">
      <w:pPr>
        <w:pStyle w:val="BodyText"/>
      </w:pPr>
      <w:r>
        <w:t xml:space="preserve">LTE was primarily designed as </w:t>
      </w:r>
      <w:r w:rsidR="000066CF">
        <w:t xml:space="preserve">a </w:t>
      </w:r>
      <w:r>
        <w:t xml:space="preserve">wide area system for </w:t>
      </w:r>
      <w:r w:rsidR="000066CF">
        <w:t xml:space="preserve">operation in </w:t>
      </w:r>
      <w:r>
        <w:t>licensed spectrum. It was made for mobile broadband services</w:t>
      </w:r>
      <w:r w:rsidR="000066CF">
        <w:t>,</w:t>
      </w:r>
      <w:r>
        <w:t xml:space="preserve"> and hence</w:t>
      </w:r>
      <w:r w:rsidR="000066CF">
        <w:t>,</w:t>
      </w:r>
      <w:r>
        <w:t xml:space="preserve"> high spectral efficiency, high per-user data rates, low latency, good coverage (including robust control channels) and </w:t>
      </w:r>
      <w:r w:rsidR="00610D89">
        <w:t xml:space="preserve">high </w:t>
      </w:r>
      <w:r>
        <w:t xml:space="preserve">mobility were important design criteria. </w:t>
      </w:r>
      <w:r w:rsidR="00610D89">
        <w:t xml:space="preserve">It is usually not possible to maximize all of these dimensions and to a certain extent the desire for “low latency” was traded against “coverage” and “efficiency”. For example, a longer TTI allows for longer time-domain interleaving which results in better capacity. Also, in LTE the reference signals for channel estimation are spread across the subframe which is advantageous for channel estimation at high UE mobility. However, it also requires most UEs to postpone the decoding until the end of the subframe which results in delayed HARQ feedback. LTE’s uplink transmission is fully scheduled which gives </w:t>
      </w:r>
      <w:r w:rsidR="000066CF">
        <w:t xml:space="preserve">it a </w:t>
      </w:r>
      <w:r w:rsidR="00610D89">
        <w:t>great throughput and performance advantage</w:t>
      </w:r>
      <w:r w:rsidR="007D2EC4">
        <w:t xml:space="preserve"> at medium or high system load</w:t>
      </w:r>
      <w:r w:rsidR="000066CF">
        <w:t>s</w:t>
      </w:r>
      <w:r w:rsidR="007D2EC4">
        <w:t xml:space="preserve"> </w:t>
      </w:r>
      <w:r w:rsidR="00106F64">
        <w:t>compared to</w:t>
      </w:r>
      <w:r w:rsidR="007D2EC4">
        <w:t xml:space="preserve"> a de-centralized access scheme.</w:t>
      </w:r>
      <w:r w:rsidR="00413A1B" w:rsidRPr="00413A1B">
        <w:t xml:space="preserve"> </w:t>
      </w:r>
      <w:r w:rsidR="00413A1B">
        <w:t>Yet</w:t>
      </w:r>
      <w:r w:rsidR="007D2EC4">
        <w:t xml:space="preserve">, at low system load the additional request/grant delay has a noticeable impact on the latency and hence on the throughput of interactive protocols such as TCP. </w:t>
      </w:r>
    </w:p>
    <w:p w14:paraId="5E988FAE" w14:textId="3B536BCC" w:rsidR="00E31D0E" w:rsidRDefault="00413A1B" w:rsidP="00A85976">
      <w:pPr>
        <w:pStyle w:val="BodyText"/>
      </w:pPr>
      <w:r>
        <w:t>While the chosen trade-off between latency, capacity, mobility and throughput was appropriate for wide area mobile broadband in licensed spectrum,</w:t>
      </w:r>
      <w:r w:rsidR="00630556">
        <w:t xml:space="preserve"> </w:t>
      </w:r>
      <w:r w:rsidR="00E31D0E">
        <w:t xml:space="preserve">some design choices turned out to be suboptimal when </w:t>
      </w:r>
      <w:r w:rsidR="00106F64">
        <w:t xml:space="preserve">porting </w:t>
      </w:r>
      <w:r w:rsidR="00630556">
        <w:t xml:space="preserve">LTE </w:t>
      </w:r>
      <w:r>
        <w:t>to unlicensed spectrum (LAA)</w:t>
      </w:r>
      <w:r w:rsidR="00630556">
        <w:t xml:space="preserve">. For example, </w:t>
      </w:r>
      <w:r w:rsidR="00E31D0E">
        <w:t xml:space="preserve">the long decoding delay (n =&gt; n+4) prevents sending the HARQ feedback in the same </w:t>
      </w:r>
      <w:r w:rsidR="000066CF">
        <w:t>transmission opportunity (</w:t>
      </w:r>
      <w:proofErr w:type="spellStart"/>
      <w:r w:rsidR="00E31D0E">
        <w:t>TxOP</w:t>
      </w:r>
      <w:proofErr w:type="spellEnd"/>
      <w:r w:rsidR="000066CF">
        <w:t>)</w:t>
      </w:r>
      <w:r w:rsidR="00E31D0E">
        <w:t xml:space="preserve"> and hence, the UE may have to perform LBT just for sending that feedback. </w:t>
      </w:r>
      <w:r w:rsidR="00141309">
        <w:t>In Wi-Fi on the other hand the feedback fo</w:t>
      </w:r>
      <w:r w:rsidR="000066CF">
        <w:t xml:space="preserve">r a transmission is sent </w:t>
      </w:r>
      <w:r w:rsidR="00141309">
        <w:t xml:space="preserve">directly after the transmission. </w:t>
      </w:r>
      <w:r w:rsidR="00E31D0E">
        <w:t>For operation in unlicensed spectrum a significant reduction of the turn-around t</w:t>
      </w:r>
      <w:r w:rsidR="002F6C1E">
        <w:t>ime to a few µs is</w:t>
      </w:r>
      <w:r w:rsidR="00E31D0E">
        <w:t xml:space="preserve"> essential</w:t>
      </w:r>
      <w:r w:rsidR="002F6C1E">
        <w:t xml:space="preserve"> for operation in environments and for support of services where this is necessary</w:t>
      </w:r>
      <w:r w:rsidR="00E31D0E">
        <w:t xml:space="preserve">. In order </w:t>
      </w:r>
      <w:r w:rsidR="00592B9F">
        <w:t xml:space="preserve">to </w:t>
      </w:r>
      <w:r w:rsidR="00E31D0E">
        <w:t>transmit UL data</w:t>
      </w:r>
      <w:r w:rsidR="002F6C1E">
        <w:t>,</w:t>
      </w:r>
      <w:r w:rsidR="00E31D0E">
        <w:t xml:space="preserve"> the UE has t</w:t>
      </w:r>
      <w:r w:rsidR="002F6C1E">
        <w:t>o send a scheduling request after</w:t>
      </w:r>
      <w:r w:rsidR="00E31D0E">
        <w:t xml:space="preserve"> which the </w:t>
      </w:r>
      <w:proofErr w:type="spellStart"/>
      <w:r w:rsidR="00E31D0E">
        <w:t>eNB</w:t>
      </w:r>
      <w:proofErr w:type="spellEnd"/>
      <w:r w:rsidR="00E31D0E">
        <w:t xml:space="preserve"> may send an UL grant</w:t>
      </w:r>
      <w:r w:rsidR="00DF4994">
        <w:t xml:space="preserve"> based on which the UE performs the actual PUSCH transmission</w:t>
      </w:r>
      <w:r w:rsidR="00E31D0E">
        <w:t xml:space="preserve">. </w:t>
      </w:r>
      <w:r w:rsidR="00DF4994">
        <w:t>All three transmissions are subject to LBT and hence the initial channel access delay will be longer than for LTE</w:t>
      </w:r>
      <w:r w:rsidR="0026660A">
        <w:t xml:space="preserve"> in licensed spectrum</w:t>
      </w:r>
      <w:r w:rsidR="00DF4994">
        <w:t>. If</w:t>
      </w:r>
      <w:r w:rsidR="002F6C1E">
        <w:t xml:space="preserve"> the link is idle intermittently</w:t>
      </w:r>
      <w:r w:rsidR="00DF4994">
        <w:t xml:space="preserve">, other systems are likely to occupy it for their data transmissions. And this increases the probability that the UE fails LBT prior to </w:t>
      </w:r>
      <w:r w:rsidR="0026660A">
        <w:t xml:space="preserve">the </w:t>
      </w:r>
      <w:r w:rsidR="00DF4994">
        <w:t>PUSCH</w:t>
      </w:r>
      <w:r w:rsidR="0026660A">
        <w:t xml:space="preserve"> transmission</w:t>
      </w:r>
      <w:r w:rsidR="002F6C1E">
        <w:t>. If that happens, the UE misses</w:t>
      </w:r>
      <w:r w:rsidR="00DF4994">
        <w:t xml:space="preserve"> the transmission opportunity and may have to</w:t>
      </w:r>
      <w:r w:rsidR="002F6C1E">
        <w:t xml:space="preserve"> wait for another </w:t>
      </w:r>
      <w:proofErr w:type="gramStart"/>
      <w:r w:rsidR="002F6C1E">
        <w:t>transmit</w:t>
      </w:r>
      <w:proofErr w:type="gramEnd"/>
      <w:r w:rsidR="002F6C1E">
        <w:t xml:space="preserve"> opportunity to be scheduled by the </w:t>
      </w:r>
      <w:proofErr w:type="spellStart"/>
      <w:r w:rsidR="002F6C1E">
        <w:t>eNB</w:t>
      </w:r>
      <w:proofErr w:type="spellEnd"/>
      <w:r w:rsidR="00DF4994">
        <w:t xml:space="preserve">. </w:t>
      </w:r>
      <w:r w:rsidR="0026660A">
        <w:t>S</w:t>
      </w:r>
      <w:r w:rsidR="00DF4994">
        <w:t xml:space="preserve">ignificantly reduced processing times in the eNB and the UE could alleviate the problem. As discussed above, such a reduction may </w:t>
      </w:r>
      <w:r w:rsidR="0026660A">
        <w:t xml:space="preserve">however </w:t>
      </w:r>
      <w:r w:rsidR="00DF4994">
        <w:t xml:space="preserve">demand substantial changes to the L1 design. In addition, a possibility </w:t>
      </w:r>
      <w:r w:rsidR="0026660A">
        <w:t xml:space="preserve">to </w:t>
      </w:r>
      <w:r w:rsidR="00DF4994">
        <w:t xml:space="preserve">transmit in uplink without sending a scheduling request could be beneficial – at least when the channel is idle. </w:t>
      </w:r>
    </w:p>
    <w:p w14:paraId="3B1C76EC" w14:textId="77777777" w:rsidR="00E8067A" w:rsidRDefault="00DF4994" w:rsidP="00A85976">
      <w:pPr>
        <w:pStyle w:val="BodyText"/>
      </w:pPr>
      <w:r>
        <w:t xml:space="preserve">Making fundamental design choices </w:t>
      </w:r>
      <w:r w:rsidR="00E8067A">
        <w:t xml:space="preserve">to </w:t>
      </w:r>
      <w:r>
        <w:t xml:space="preserve">an existing radio interface technology </w:t>
      </w:r>
      <w:r w:rsidR="00E8067A">
        <w:t xml:space="preserve">is usually controversial as it likely breaks backwards compatibility and significantly impacts product development. </w:t>
      </w:r>
    </w:p>
    <w:p w14:paraId="1AC8D442" w14:textId="77777777" w:rsidR="00E8067A" w:rsidRPr="00804F22" w:rsidRDefault="00E8067A" w:rsidP="00E8067A">
      <w:pPr>
        <w:pStyle w:val="Observation"/>
      </w:pPr>
      <w:bookmarkStart w:id="43" w:name="_Toc444271723"/>
      <w:bookmarkStart w:id="44" w:name="_Toc444272791"/>
      <w:bookmarkStart w:id="45" w:name="_Toc444505017"/>
      <w:bookmarkStart w:id="46" w:name="_Toc444505257"/>
      <w:bookmarkStart w:id="47" w:name="_Toc444514695"/>
      <w:bookmarkStart w:id="48" w:name="_Toc444782929"/>
      <w:bookmarkStart w:id="49" w:name="_Toc446083726"/>
      <w:bookmarkStart w:id="50" w:name="_Toc446083756"/>
      <w:bookmarkStart w:id="51" w:name="_Toc446083765"/>
      <w:bookmarkStart w:id="52" w:name="_Toc446083863"/>
      <w:bookmarkStart w:id="53" w:name="_Toc447288558"/>
      <w:bookmarkStart w:id="54" w:name="_Toc447290538"/>
      <w:r>
        <w:t>Adding support for unlicensed spectrum to an existing and established technology is challenging</w:t>
      </w:r>
      <w:bookmarkEnd w:id="43"/>
      <w:bookmarkEnd w:id="44"/>
      <w:bookmarkEnd w:id="45"/>
      <w:bookmarkEnd w:id="46"/>
      <w:bookmarkEnd w:id="47"/>
      <w:bookmarkEnd w:id="48"/>
      <w:bookmarkEnd w:id="49"/>
      <w:bookmarkEnd w:id="50"/>
      <w:bookmarkEnd w:id="51"/>
      <w:bookmarkEnd w:id="52"/>
      <w:bookmarkEnd w:id="53"/>
      <w:bookmarkEnd w:id="54"/>
      <w:r>
        <w:t xml:space="preserve"> </w:t>
      </w:r>
    </w:p>
    <w:p w14:paraId="6AC3E250" w14:textId="7B8335B9" w:rsidR="00DF4994" w:rsidRDefault="00E8067A" w:rsidP="00A85976">
      <w:pPr>
        <w:pStyle w:val="BodyText"/>
      </w:pPr>
      <w:r>
        <w:t xml:space="preserve">To avoid such big design changes it is advisable to consider the particular requirements and demands of unlicensed spectrum already in the initial design phase of the </w:t>
      </w:r>
      <w:r w:rsidR="00010E2E">
        <w:t>NR</w:t>
      </w:r>
      <w:r>
        <w:t xml:space="preserve">. </w:t>
      </w:r>
    </w:p>
    <w:p w14:paraId="0243C5EC" w14:textId="15A6755F" w:rsidR="00977809" w:rsidRDefault="001741E6" w:rsidP="00977809">
      <w:pPr>
        <w:pStyle w:val="Proposal"/>
      </w:pPr>
      <w:bookmarkStart w:id="55" w:name="_Toc444271172"/>
      <w:bookmarkStart w:id="56" w:name="_Toc444271725"/>
      <w:bookmarkStart w:id="57" w:name="_Toc444272793"/>
      <w:bookmarkStart w:id="58" w:name="_Toc444505019"/>
      <w:bookmarkStart w:id="59" w:name="_Toc444505259"/>
      <w:bookmarkStart w:id="60" w:name="_Toc444514696"/>
      <w:bookmarkStart w:id="61" w:name="_Toc444782930"/>
      <w:bookmarkStart w:id="62" w:name="_Toc446083727"/>
      <w:bookmarkStart w:id="63" w:name="_Toc446083757"/>
      <w:bookmarkStart w:id="64" w:name="_Toc446083766"/>
      <w:bookmarkStart w:id="65" w:name="_Toc446083864"/>
      <w:bookmarkStart w:id="66" w:name="_Toc447288559"/>
      <w:bookmarkStart w:id="67" w:name="_Toc447290539"/>
      <w:r>
        <w:t>Throughout the design phase</w:t>
      </w:r>
      <w:r w:rsidR="00613953">
        <w:t>,</w:t>
      </w:r>
      <w:r>
        <w:t xml:space="preserve"> the new radio interface should be optimized for operation in </w:t>
      </w:r>
      <w:r w:rsidR="00804F22">
        <w:t>licensed, unlicensed and shared</w:t>
      </w:r>
      <w:r w:rsidR="006350CF">
        <w:t>-</w:t>
      </w:r>
      <w:r w:rsidR="00804F22">
        <w:t>licensed spectrum</w:t>
      </w:r>
      <w:bookmarkEnd w:id="55"/>
      <w:bookmarkEnd w:id="56"/>
      <w:r w:rsidR="00723A63">
        <w:t>.</w:t>
      </w:r>
      <w:bookmarkEnd w:id="57"/>
      <w:bookmarkEnd w:id="58"/>
      <w:bookmarkEnd w:id="59"/>
      <w:bookmarkEnd w:id="60"/>
      <w:bookmarkEnd w:id="61"/>
      <w:bookmarkEnd w:id="62"/>
      <w:bookmarkEnd w:id="63"/>
      <w:bookmarkEnd w:id="64"/>
      <w:bookmarkEnd w:id="65"/>
      <w:bookmarkEnd w:id="66"/>
      <w:bookmarkEnd w:id="67"/>
    </w:p>
    <w:p w14:paraId="1F9F5D7D" w14:textId="3DB22C63" w:rsidR="000733E7" w:rsidRDefault="000733E7" w:rsidP="00977809">
      <w:pPr>
        <w:pStyle w:val="Proposal"/>
      </w:pPr>
      <w:bookmarkStart w:id="68" w:name="_Toc444271173"/>
      <w:bookmarkStart w:id="69" w:name="_Toc444271726"/>
      <w:bookmarkStart w:id="70" w:name="_Toc444272794"/>
      <w:bookmarkStart w:id="71" w:name="_Toc444505020"/>
      <w:bookmarkStart w:id="72" w:name="_Toc444505260"/>
      <w:bookmarkStart w:id="73" w:name="_Toc444514697"/>
      <w:bookmarkStart w:id="74" w:name="_Toc444782931"/>
      <w:bookmarkStart w:id="75" w:name="_Toc446083728"/>
      <w:bookmarkStart w:id="76" w:name="_Toc446083758"/>
      <w:bookmarkStart w:id="77" w:name="_Toc446083767"/>
      <w:bookmarkStart w:id="78" w:name="_Toc446083865"/>
      <w:bookmarkStart w:id="79" w:name="_Toc447288560"/>
      <w:bookmarkStart w:id="80" w:name="_Toc447290540"/>
      <w:r>
        <w:t xml:space="preserve">The design of the </w:t>
      </w:r>
      <w:r w:rsidR="006350CF">
        <w:t>new</w:t>
      </w:r>
      <w:r>
        <w:t xml:space="preserve"> radio interface should support as many services and deployment scenarios as possible using unlicensed spectrum</w:t>
      </w:r>
      <w:bookmarkEnd w:id="68"/>
      <w:bookmarkEnd w:id="69"/>
      <w:bookmarkEnd w:id="70"/>
      <w:bookmarkEnd w:id="71"/>
      <w:r w:rsidR="006350CF">
        <w:t>.</w:t>
      </w:r>
      <w:bookmarkEnd w:id="72"/>
      <w:bookmarkEnd w:id="73"/>
      <w:bookmarkEnd w:id="74"/>
      <w:bookmarkEnd w:id="75"/>
      <w:bookmarkEnd w:id="76"/>
      <w:bookmarkEnd w:id="77"/>
      <w:bookmarkEnd w:id="78"/>
      <w:bookmarkEnd w:id="79"/>
      <w:bookmarkEnd w:id="80"/>
      <w:r w:rsidR="006350CF">
        <w:t xml:space="preserve"> </w:t>
      </w:r>
    </w:p>
    <w:p w14:paraId="13419E67" w14:textId="04BB0543" w:rsidR="00035608" w:rsidRPr="00035608" w:rsidRDefault="00943CDD" w:rsidP="00035608">
      <w:pPr>
        <w:pStyle w:val="BodyText"/>
      </w:pPr>
      <w:r>
        <w:t xml:space="preserve">In </w:t>
      </w:r>
      <w:r w:rsidR="00350BFC">
        <w:fldChar w:fldCharType="begin"/>
      </w:r>
      <w:r w:rsidR="00350BFC">
        <w:instrText xml:space="preserve"> REF _Ref446080281 \n \h </w:instrText>
      </w:r>
      <w:r w:rsidR="00350BFC">
        <w:fldChar w:fldCharType="separate"/>
      </w:r>
      <w:r w:rsidR="000F1A05">
        <w:t>[2]</w:t>
      </w:r>
      <w:r w:rsidR="00350BFC">
        <w:fldChar w:fldCharType="end"/>
      </w:r>
      <w:r w:rsidR="00613953">
        <w:t>,</w:t>
      </w:r>
      <w:r w:rsidR="00350BFC">
        <w:t xml:space="preserve"> </w:t>
      </w:r>
      <w:r w:rsidR="00613953">
        <w:t xml:space="preserve">we </w:t>
      </w:r>
      <w:r w:rsidR="00350BFC">
        <w:t>discuss a number of key characteristics of the New Radio interface that require careful investigation with respect to operation in unlicensed or share</w:t>
      </w:r>
      <w:r w:rsidR="00613953">
        <w:t>d</w:t>
      </w:r>
      <w:r w:rsidR="00350BFC">
        <w:t xml:space="preserve">-licensed spectrum. </w:t>
      </w:r>
    </w:p>
    <w:p w14:paraId="32411E22" w14:textId="77777777" w:rsidR="00C01F33" w:rsidRPr="00CE0424" w:rsidRDefault="00C01F33" w:rsidP="00CE0424">
      <w:pPr>
        <w:pStyle w:val="Heading1"/>
      </w:pPr>
      <w:r w:rsidRPr="00CE0424">
        <w:t>Conclusion</w:t>
      </w:r>
    </w:p>
    <w:p w14:paraId="10B32E29" w14:textId="15C58BBF" w:rsidR="000F1A0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F1A05">
        <w:t>2</w:t>
      </w:r>
      <w:r w:rsidRPr="00CE0424">
        <w:rPr>
          <w:highlight w:val="cyan"/>
        </w:rPr>
        <w:fldChar w:fldCharType="end"/>
      </w:r>
      <w:r w:rsidR="00613953">
        <w:t>,</w:t>
      </w:r>
      <w:r w:rsidRPr="00CE0424">
        <w:t xml:space="preserve"> we </w:t>
      </w:r>
      <w:r>
        <w:t>made the following observations</w:t>
      </w:r>
      <w:r w:rsidRPr="00CE0424">
        <w:t>:</w:t>
      </w:r>
      <w:r w:rsidRPr="003F2C1A">
        <w:rPr>
          <w:b/>
          <w:bCs/>
          <w:highlight w:val="yellow"/>
        </w:rPr>
        <w:fldChar w:fldCharType="begin"/>
      </w:r>
      <w:r w:rsidRPr="003F2C1A">
        <w:rPr>
          <w:b/>
          <w:bCs/>
          <w:highlight w:val="yellow"/>
        </w:rPr>
        <w:instrText xml:space="preserve"> TOC \f \n \t "Observation;1" </w:instrText>
      </w:r>
      <w:r w:rsidRPr="003F2C1A">
        <w:rPr>
          <w:b/>
          <w:bCs/>
          <w:highlight w:val="yellow"/>
        </w:rPr>
        <w:fldChar w:fldCharType="separate"/>
      </w:r>
    </w:p>
    <w:p w14:paraId="44FE8F58" w14:textId="77777777" w:rsidR="000F1A05" w:rsidRDefault="000F1A05">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Unlicensed spectrum cannot substitute licensed spectrum for all use cases, services and deployments due to e.g. reduced reliability, less predictable latency and lower transmit power (resulting in lower coverage).</w:t>
      </w:r>
    </w:p>
    <w:p w14:paraId="74CE0280" w14:textId="77777777" w:rsidR="000F1A05" w:rsidRDefault="000F1A0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Unlicensed spectrum is suitable for many services and deployments and it may enable new use-cases for which licensed spectrum is not applicable or not available.</w:t>
      </w:r>
    </w:p>
    <w:p w14:paraId="1E42D90B" w14:textId="77777777" w:rsidR="000F1A05" w:rsidRDefault="000F1A0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Wide allocations of unlicensed spectrum are available globally with different regulation requirements.</w:t>
      </w:r>
    </w:p>
    <w:p w14:paraId="058D4E18" w14:textId="3EA88DE1" w:rsidR="000F1A05" w:rsidRDefault="000F1A05">
      <w:pPr>
        <w:pStyle w:val="TOC1"/>
        <w:rPr>
          <w:rFonts w:asciiTheme="minorHAnsi" w:eastAsiaTheme="minorEastAsia" w:hAnsiTheme="minorHAnsi" w:cstheme="minorBidi"/>
          <w:b w:val="0"/>
          <w:sz w:val="22"/>
          <w:lang w:eastAsia="en-US"/>
        </w:rPr>
      </w:pPr>
      <w:r w:rsidRPr="0075654B">
        <w:t>Observation 4</w:t>
      </w:r>
      <w:r>
        <w:rPr>
          <w:rFonts w:asciiTheme="minorHAnsi" w:eastAsiaTheme="minorEastAsia" w:hAnsiTheme="minorHAnsi" w:cstheme="minorBidi"/>
          <w:b w:val="0"/>
          <w:sz w:val="22"/>
          <w:lang w:eastAsia="en-US"/>
        </w:rPr>
        <w:tab/>
      </w:r>
      <w:r>
        <w:t>Support of unlicensed spectrum</w:t>
      </w:r>
      <w:r w:rsidR="006552DE">
        <w:t>,</w:t>
      </w:r>
      <w:r>
        <w:t xml:space="preserve"> both stand-alone as well as in combination with licensed spectrum</w:t>
      </w:r>
      <w:r w:rsidR="006552DE">
        <w:t>,</w:t>
      </w:r>
      <w:r>
        <w:t xml:space="preserve"> is an essential requirement for the next generation radio access technology.</w:t>
      </w:r>
    </w:p>
    <w:p w14:paraId="18F9B30E" w14:textId="77777777" w:rsidR="000F1A05" w:rsidRDefault="000F1A0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Adding support for unlicensed spectrum to an existing and established technology is challenging</w:t>
      </w:r>
    </w:p>
    <w:p w14:paraId="2AED5A8D" w14:textId="77777777" w:rsidR="008E065E" w:rsidRPr="003F2C1A" w:rsidRDefault="008E065E" w:rsidP="008E065E">
      <w:pPr>
        <w:pStyle w:val="BodyText"/>
        <w:rPr>
          <w:b/>
          <w:bCs/>
          <w:highlight w:val="yellow"/>
        </w:rPr>
      </w:pPr>
      <w:r w:rsidRPr="003F2C1A">
        <w:rPr>
          <w:b/>
          <w:bCs/>
          <w:highlight w:val="yellow"/>
        </w:rPr>
        <w:fldChar w:fldCharType="end"/>
      </w:r>
    </w:p>
    <w:p w14:paraId="033EE536" w14:textId="568EDEE6" w:rsidR="000F1A0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F1A05">
        <w:t>2</w:t>
      </w:r>
      <w:r w:rsidRPr="00CE0424">
        <w:rPr>
          <w:highlight w:val="cyan"/>
        </w:rPr>
        <w:fldChar w:fldCharType="end"/>
      </w:r>
      <w:r w:rsidR="00613953">
        <w:t>,</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EEBEE62" w14:textId="420A0674" w:rsidR="000F1A05" w:rsidRDefault="000F1A0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Throughout the design phase</w:t>
      </w:r>
      <w:r w:rsidR="00613953">
        <w:t>,</w:t>
      </w:r>
      <w:r>
        <w:t xml:space="preserve"> the new radio interface should be optimized for operation in licensed, unlicensed and shared-licensed spectrum.</w:t>
      </w:r>
    </w:p>
    <w:p w14:paraId="5C24EE0F" w14:textId="77777777" w:rsidR="000F1A05" w:rsidRDefault="000F1A0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design of the new radio interface should support as many services and deployment scenarios as possible using unlicensed spectrum.</w:t>
      </w:r>
    </w:p>
    <w:p w14:paraId="2901BFC4" w14:textId="77777777" w:rsidR="008E065E" w:rsidRPr="00CE0424" w:rsidRDefault="008E065E" w:rsidP="008E065E">
      <w:pPr>
        <w:rPr>
          <w:b/>
          <w:bCs/>
        </w:rPr>
      </w:pPr>
      <w:r>
        <w:rPr>
          <w:b/>
          <w:bCs/>
        </w:rPr>
        <w:fldChar w:fldCharType="end"/>
      </w:r>
    </w:p>
    <w:p w14:paraId="4E374EBA" w14:textId="77777777" w:rsidR="00C01F33" w:rsidRPr="00CE0424" w:rsidRDefault="00C01F33" w:rsidP="006E062C"/>
    <w:p w14:paraId="3AD4134E" w14:textId="77777777" w:rsidR="00F507D1" w:rsidRPr="00CE0424" w:rsidRDefault="00F507D1" w:rsidP="00CE0424">
      <w:pPr>
        <w:pStyle w:val="Heading1"/>
      </w:pPr>
      <w:bookmarkStart w:id="81" w:name="_In-sequence_SDU_delivery"/>
      <w:bookmarkEnd w:id="81"/>
      <w:r w:rsidRPr="00CE0424">
        <w:t>References</w:t>
      </w:r>
    </w:p>
    <w:p w14:paraId="0859ADA2" w14:textId="08083713" w:rsidR="005F3025" w:rsidRDefault="004C437E" w:rsidP="004C437E">
      <w:pPr>
        <w:pStyle w:val="Reference"/>
      </w:pPr>
      <w:bookmarkStart w:id="82" w:name="_Ref446078197"/>
      <w:bookmarkStart w:id="83" w:name="_Ref174151459"/>
      <w:bookmarkStart w:id="84" w:name="_Ref189809556"/>
      <w:r>
        <w:t xml:space="preserve">3GPP TR </w:t>
      </w:r>
      <w:hyperlink r:id="rId15" w:history="1">
        <w:r w:rsidRPr="004C437E">
          <w:rPr>
            <w:rStyle w:val="Hyperlink"/>
          </w:rPr>
          <w:t>36.889</w:t>
        </w:r>
      </w:hyperlink>
      <w:r>
        <w:t>; “</w:t>
      </w:r>
      <w:r w:rsidRPr="004C437E">
        <w:t>Study on Licensed-Assisted Access to Unlicensed Spectrum</w:t>
      </w:r>
      <w:r>
        <w:t>”; v13.0.0; 2015-06</w:t>
      </w:r>
      <w:bookmarkEnd w:id="82"/>
    </w:p>
    <w:bookmarkStart w:id="85" w:name="_Ref446080281"/>
    <w:p w14:paraId="51207133" w14:textId="5DB89175" w:rsidR="00943CDD" w:rsidRPr="00432572" w:rsidRDefault="00432572" w:rsidP="00357CBD">
      <w:pPr>
        <w:pStyle w:val="Reference"/>
      </w:pPr>
      <w:r w:rsidRPr="00432572">
        <w:fldChar w:fldCharType="begin"/>
      </w:r>
      <w:r w:rsidRPr="00432572">
        <w:instrText>HYPERLINK "ftp://ftp.3gpp.org/tsg_ran/WG1_RL1/TSGR1_84b/Docs/R1-163244.zip"</w:instrText>
      </w:r>
      <w:r w:rsidRPr="00432572">
        <w:fldChar w:fldCharType="separate"/>
      </w:r>
      <w:r w:rsidRPr="00432572">
        <w:rPr>
          <w:rStyle w:val="Hyperlink"/>
        </w:rPr>
        <w:t>R1-163244</w:t>
      </w:r>
      <w:r w:rsidRPr="00432572">
        <w:fldChar w:fldCharType="end"/>
      </w:r>
      <w:r w:rsidRPr="00432572">
        <w:t>,</w:t>
      </w:r>
      <w:r w:rsidR="00943CDD" w:rsidRPr="00432572">
        <w:t xml:space="preserve"> “</w:t>
      </w:r>
      <w:r w:rsidR="00357CBD" w:rsidRPr="00432572">
        <w:t>Characteristics of NR impacting operation in unlicensed spectrum</w:t>
      </w:r>
      <w:r w:rsidR="00943CDD" w:rsidRPr="00432572">
        <w:t>”, Ericsson, RAN</w:t>
      </w:r>
      <w:r w:rsidRPr="00432572">
        <w:t>1</w:t>
      </w:r>
      <w:r w:rsidR="00943CDD" w:rsidRPr="00432572">
        <w:t>-</w:t>
      </w:r>
      <w:r w:rsidRPr="00432572">
        <w:t>84</w:t>
      </w:r>
      <w:r w:rsidR="00943CDD" w:rsidRPr="00432572">
        <w:t>bis</w:t>
      </w:r>
      <w:bookmarkEnd w:id="85"/>
      <w:r w:rsidR="000B72E3" w:rsidRPr="00432572">
        <w:t>, 2016-04-11 to 2016-04-15</w:t>
      </w:r>
    </w:p>
    <w:bookmarkEnd w:id="83"/>
    <w:bookmarkEnd w:id="84"/>
    <w:p w14:paraId="7D600D9A" w14:textId="77777777" w:rsidR="00954A43" w:rsidRPr="00954A43" w:rsidRDefault="00954A43" w:rsidP="00954A43">
      <w:pPr>
        <w:pStyle w:val="BodyText"/>
      </w:pPr>
    </w:p>
    <w:sectPr w:rsidR="00954A43" w:rsidRPr="00954A4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34E81" w14:textId="77777777" w:rsidR="00863CC8" w:rsidRDefault="00863CC8">
      <w:r>
        <w:separator/>
      </w:r>
    </w:p>
  </w:endnote>
  <w:endnote w:type="continuationSeparator" w:id="0">
    <w:p w14:paraId="351FB282" w14:textId="77777777" w:rsidR="00863CC8" w:rsidRDefault="0086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F9C05" w14:textId="77777777" w:rsidR="00FD75F9" w:rsidRDefault="00FD75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63611A4E" w:rsidR="00920BF2" w:rsidRPr="00FD75F9" w:rsidRDefault="00920BF2" w:rsidP="00FD75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C0178" w14:textId="77777777" w:rsidR="00FD75F9" w:rsidRDefault="00FD75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0F7BB" w14:textId="77777777" w:rsidR="00863CC8" w:rsidRDefault="00863CC8">
      <w:r>
        <w:separator/>
      </w:r>
    </w:p>
  </w:footnote>
  <w:footnote w:type="continuationSeparator" w:id="0">
    <w:p w14:paraId="00DC98EF" w14:textId="77777777" w:rsidR="00863CC8" w:rsidRDefault="00863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1F3B07A4" w:rsidR="00920BF2" w:rsidRPr="00FD75F9" w:rsidRDefault="00920BF2" w:rsidP="00FD75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AC9C3" w14:textId="77777777" w:rsidR="00FD75F9" w:rsidRDefault="00FD75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0F3B6" w14:textId="77777777" w:rsidR="00FD75F9" w:rsidRDefault="00FD75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3834A9AC"/>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E9145C"/>
    <w:multiLevelType w:val="singleLevel"/>
    <w:tmpl w:val="8260FA12"/>
    <w:lvl w:ilvl="0">
      <w:start w:val="1"/>
      <w:numFmt w:val="lowerLetter"/>
      <w:lvlText w:val="%1)"/>
      <w:legacy w:legacy="1" w:legacySpace="0" w:legacyIndent="283"/>
      <w:lvlJc w:val="left"/>
      <w:pPr>
        <w:ind w:left="567" w:hanging="283"/>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D8782E"/>
    <w:multiLevelType w:val="hybridMultilevel"/>
    <w:tmpl w:val="8E026F5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11B5D"/>
    <w:multiLevelType w:val="hybridMultilevel"/>
    <w:tmpl w:val="E410B94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5"/>
  </w:num>
  <w:num w:numId="15">
    <w:abstractNumId w:val="3"/>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6CF"/>
    <w:rsid w:val="00006896"/>
    <w:rsid w:val="00007CDC"/>
    <w:rsid w:val="00010E2E"/>
    <w:rsid w:val="00011B28"/>
    <w:rsid w:val="000142CC"/>
    <w:rsid w:val="00015D15"/>
    <w:rsid w:val="000205BA"/>
    <w:rsid w:val="0002564D"/>
    <w:rsid w:val="00025ECA"/>
    <w:rsid w:val="000325B8"/>
    <w:rsid w:val="00034C15"/>
    <w:rsid w:val="00035608"/>
    <w:rsid w:val="00036BA1"/>
    <w:rsid w:val="000422E2"/>
    <w:rsid w:val="00042F22"/>
    <w:rsid w:val="000444EF"/>
    <w:rsid w:val="00052A07"/>
    <w:rsid w:val="000534E3"/>
    <w:rsid w:val="0005606A"/>
    <w:rsid w:val="00057117"/>
    <w:rsid w:val="000616E7"/>
    <w:rsid w:val="0006487E"/>
    <w:rsid w:val="00065774"/>
    <w:rsid w:val="00065E1A"/>
    <w:rsid w:val="000733E7"/>
    <w:rsid w:val="000766D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094"/>
    <w:rsid w:val="000B2719"/>
    <w:rsid w:val="000B3A8F"/>
    <w:rsid w:val="000B4AB9"/>
    <w:rsid w:val="000B58C3"/>
    <w:rsid w:val="000B61E9"/>
    <w:rsid w:val="000B72E3"/>
    <w:rsid w:val="000C0570"/>
    <w:rsid w:val="000C165A"/>
    <w:rsid w:val="000C2E19"/>
    <w:rsid w:val="000C4F1B"/>
    <w:rsid w:val="000C6956"/>
    <w:rsid w:val="000D0D07"/>
    <w:rsid w:val="000D4797"/>
    <w:rsid w:val="000E0527"/>
    <w:rsid w:val="000E1E92"/>
    <w:rsid w:val="000F06D6"/>
    <w:rsid w:val="000F0EB1"/>
    <w:rsid w:val="000F1106"/>
    <w:rsid w:val="000F1A05"/>
    <w:rsid w:val="000F3BE9"/>
    <w:rsid w:val="000F3F6C"/>
    <w:rsid w:val="000F6DF3"/>
    <w:rsid w:val="001005FF"/>
    <w:rsid w:val="001062FB"/>
    <w:rsid w:val="001063E6"/>
    <w:rsid w:val="00106F6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09"/>
    <w:rsid w:val="00151E23"/>
    <w:rsid w:val="001526E0"/>
    <w:rsid w:val="001551B5"/>
    <w:rsid w:val="001659C1"/>
    <w:rsid w:val="00172199"/>
    <w:rsid w:val="00173A8E"/>
    <w:rsid w:val="001741E6"/>
    <w:rsid w:val="001807E5"/>
    <w:rsid w:val="0018143F"/>
    <w:rsid w:val="00184CD0"/>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B5D"/>
    <w:rsid w:val="00203F96"/>
    <w:rsid w:val="002069B2"/>
    <w:rsid w:val="00207FA3"/>
    <w:rsid w:val="00214DA8"/>
    <w:rsid w:val="00215423"/>
    <w:rsid w:val="002158FA"/>
    <w:rsid w:val="00220600"/>
    <w:rsid w:val="002224DB"/>
    <w:rsid w:val="00223FCB"/>
    <w:rsid w:val="002252C3"/>
    <w:rsid w:val="00225C54"/>
    <w:rsid w:val="00230765"/>
    <w:rsid w:val="002319E4"/>
    <w:rsid w:val="00234979"/>
    <w:rsid w:val="00235632"/>
    <w:rsid w:val="00235872"/>
    <w:rsid w:val="00241559"/>
    <w:rsid w:val="002435B3"/>
    <w:rsid w:val="002458EB"/>
    <w:rsid w:val="002500C8"/>
    <w:rsid w:val="00257543"/>
    <w:rsid w:val="002617E7"/>
    <w:rsid w:val="00264228"/>
    <w:rsid w:val="00264334"/>
    <w:rsid w:val="0026473E"/>
    <w:rsid w:val="00266214"/>
    <w:rsid w:val="0026660A"/>
    <w:rsid w:val="00267C83"/>
    <w:rsid w:val="0027144F"/>
    <w:rsid w:val="00271813"/>
    <w:rsid w:val="00271F3A"/>
    <w:rsid w:val="00273278"/>
    <w:rsid w:val="002737F4"/>
    <w:rsid w:val="002805F5"/>
    <w:rsid w:val="00280751"/>
    <w:rsid w:val="00282701"/>
    <w:rsid w:val="0028280A"/>
    <w:rsid w:val="00286ACD"/>
    <w:rsid w:val="00287838"/>
    <w:rsid w:val="002907B5"/>
    <w:rsid w:val="00292EB7"/>
    <w:rsid w:val="00296227"/>
    <w:rsid w:val="00296F44"/>
    <w:rsid w:val="0029777D"/>
    <w:rsid w:val="002A055E"/>
    <w:rsid w:val="002A1D4E"/>
    <w:rsid w:val="002A2869"/>
    <w:rsid w:val="002B24D6"/>
    <w:rsid w:val="002C05EE"/>
    <w:rsid w:val="002C41E6"/>
    <w:rsid w:val="002D071A"/>
    <w:rsid w:val="002D34B2"/>
    <w:rsid w:val="002D7637"/>
    <w:rsid w:val="002E17F2"/>
    <w:rsid w:val="002E7CAE"/>
    <w:rsid w:val="002F2771"/>
    <w:rsid w:val="002F37A9"/>
    <w:rsid w:val="002F6C1E"/>
    <w:rsid w:val="00301CE6"/>
    <w:rsid w:val="0030256B"/>
    <w:rsid w:val="0030501F"/>
    <w:rsid w:val="00307BA1"/>
    <w:rsid w:val="00311702"/>
    <w:rsid w:val="00311E82"/>
    <w:rsid w:val="00313FD6"/>
    <w:rsid w:val="003143BD"/>
    <w:rsid w:val="003203ED"/>
    <w:rsid w:val="00322C9F"/>
    <w:rsid w:val="00324D23"/>
    <w:rsid w:val="00325D8B"/>
    <w:rsid w:val="00331751"/>
    <w:rsid w:val="00334579"/>
    <w:rsid w:val="00335858"/>
    <w:rsid w:val="00336BDA"/>
    <w:rsid w:val="00341DAD"/>
    <w:rsid w:val="00342BD7"/>
    <w:rsid w:val="0034510C"/>
    <w:rsid w:val="00346DB5"/>
    <w:rsid w:val="003477B1"/>
    <w:rsid w:val="00350271"/>
    <w:rsid w:val="00350BFC"/>
    <w:rsid w:val="00357380"/>
    <w:rsid w:val="00357CBD"/>
    <w:rsid w:val="003602D9"/>
    <w:rsid w:val="003604CE"/>
    <w:rsid w:val="00364484"/>
    <w:rsid w:val="00370E47"/>
    <w:rsid w:val="003742AC"/>
    <w:rsid w:val="00374637"/>
    <w:rsid w:val="00377CE1"/>
    <w:rsid w:val="00385BF0"/>
    <w:rsid w:val="00387E45"/>
    <w:rsid w:val="003939FF"/>
    <w:rsid w:val="003A2223"/>
    <w:rsid w:val="003A2A0F"/>
    <w:rsid w:val="003A45A1"/>
    <w:rsid w:val="003A5B0A"/>
    <w:rsid w:val="003A6BAC"/>
    <w:rsid w:val="003A7EF3"/>
    <w:rsid w:val="003B159C"/>
    <w:rsid w:val="003B369F"/>
    <w:rsid w:val="003B36A3"/>
    <w:rsid w:val="003B7FE5"/>
    <w:rsid w:val="003C11C8"/>
    <w:rsid w:val="003C2702"/>
    <w:rsid w:val="003C6B78"/>
    <w:rsid w:val="003C7806"/>
    <w:rsid w:val="003D0016"/>
    <w:rsid w:val="003D109F"/>
    <w:rsid w:val="003D2478"/>
    <w:rsid w:val="003D3C45"/>
    <w:rsid w:val="003D5B1F"/>
    <w:rsid w:val="003E15FA"/>
    <w:rsid w:val="003E55E4"/>
    <w:rsid w:val="003E74E3"/>
    <w:rsid w:val="003F05C7"/>
    <w:rsid w:val="003F2C1A"/>
    <w:rsid w:val="003F2CD4"/>
    <w:rsid w:val="003F6BBE"/>
    <w:rsid w:val="004000E8"/>
    <w:rsid w:val="00402E2B"/>
    <w:rsid w:val="0040512B"/>
    <w:rsid w:val="00405CA5"/>
    <w:rsid w:val="00407CD3"/>
    <w:rsid w:val="00410134"/>
    <w:rsid w:val="00410B72"/>
    <w:rsid w:val="00410F18"/>
    <w:rsid w:val="0041263E"/>
    <w:rsid w:val="00413A1B"/>
    <w:rsid w:val="00413AAC"/>
    <w:rsid w:val="00413E92"/>
    <w:rsid w:val="00421105"/>
    <w:rsid w:val="004242F4"/>
    <w:rsid w:val="00427248"/>
    <w:rsid w:val="00432572"/>
    <w:rsid w:val="00435EB4"/>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37E"/>
    <w:rsid w:val="004C527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763"/>
    <w:rsid w:val="00534B59"/>
    <w:rsid w:val="00536759"/>
    <w:rsid w:val="00537C62"/>
    <w:rsid w:val="005427C0"/>
    <w:rsid w:val="00546970"/>
    <w:rsid w:val="00554E19"/>
    <w:rsid w:val="0056121F"/>
    <w:rsid w:val="00572505"/>
    <w:rsid w:val="00582809"/>
    <w:rsid w:val="0058798C"/>
    <w:rsid w:val="005900FA"/>
    <w:rsid w:val="00592B9F"/>
    <w:rsid w:val="005935A4"/>
    <w:rsid w:val="005948C2"/>
    <w:rsid w:val="00595DCA"/>
    <w:rsid w:val="0059779B"/>
    <w:rsid w:val="005A209A"/>
    <w:rsid w:val="005A5C6D"/>
    <w:rsid w:val="005A662D"/>
    <w:rsid w:val="005B35D7"/>
    <w:rsid w:val="005B392A"/>
    <w:rsid w:val="005B3AA3"/>
    <w:rsid w:val="005B6F83"/>
    <w:rsid w:val="005C74FB"/>
    <w:rsid w:val="005C7E0F"/>
    <w:rsid w:val="005D1602"/>
    <w:rsid w:val="005E33B4"/>
    <w:rsid w:val="005E385F"/>
    <w:rsid w:val="005E5B81"/>
    <w:rsid w:val="005F2568"/>
    <w:rsid w:val="005F2CB1"/>
    <w:rsid w:val="005F3025"/>
    <w:rsid w:val="005F618C"/>
    <w:rsid w:val="005F70BD"/>
    <w:rsid w:val="0060283C"/>
    <w:rsid w:val="00604F14"/>
    <w:rsid w:val="00610726"/>
    <w:rsid w:val="00610D89"/>
    <w:rsid w:val="00611B83"/>
    <w:rsid w:val="00613257"/>
    <w:rsid w:val="00613953"/>
    <w:rsid w:val="00620A71"/>
    <w:rsid w:val="00620D80"/>
    <w:rsid w:val="006234A6"/>
    <w:rsid w:val="00630001"/>
    <w:rsid w:val="00630556"/>
    <w:rsid w:val="006311B3"/>
    <w:rsid w:val="0063284C"/>
    <w:rsid w:val="006350CF"/>
    <w:rsid w:val="00636398"/>
    <w:rsid w:val="006368D3"/>
    <w:rsid w:val="006377EC"/>
    <w:rsid w:val="0064151F"/>
    <w:rsid w:val="00641533"/>
    <w:rsid w:val="0064208D"/>
    <w:rsid w:val="00643475"/>
    <w:rsid w:val="0064396A"/>
    <w:rsid w:val="00645407"/>
    <w:rsid w:val="0064624E"/>
    <w:rsid w:val="00650AB9"/>
    <w:rsid w:val="006526AC"/>
    <w:rsid w:val="006552D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21B"/>
    <w:rsid w:val="006E28B7"/>
    <w:rsid w:val="006E3310"/>
    <w:rsid w:val="006E4E39"/>
    <w:rsid w:val="006E565E"/>
    <w:rsid w:val="006E673D"/>
    <w:rsid w:val="006E7D3B"/>
    <w:rsid w:val="006F1B70"/>
    <w:rsid w:val="006F341D"/>
    <w:rsid w:val="006F3CDE"/>
    <w:rsid w:val="006F58D4"/>
    <w:rsid w:val="006F5DD9"/>
    <w:rsid w:val="00702AC5"/>
    <w:rsid w:val="0070346E"/>
    <w:rsid w:val="00704EDB"/>
    <w:rsid w:val="00706101"/>
    <w:rsid w:val="00707072"/>
    <w:rsid w:val="00707D61"/>
    <w:rsid w:val="00712287"/>
    <w:rsid w:val="00712772"/>
    <w:rsid w:val="007148D3"/>
    <w:rsid w:val="00715B9A"/>
    <w:rsid w:val="00723A63"/>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97E8E"/>
    <w:rsid w:val="007A1CB3"/>
    <w:rsid w:val="007A306F"/>
    <w:rsid w:val="007A43A6"/>
    <w:rsid w:val="007A58A6"/>
    <w:rsid w:val="007B3D2D"/>
    <w:rsid w:val="007B50AE"/>
    <w:rsid w:val="007B51DF"/>
    <w:rsid w:val="007B604B"/>
    <w:rsid w:val="007C05DD"/>
    <w:rsid w:val="007C3D18"/>
    <w:rsid w:val="007C60BF"/>
    <w:rsid w:val="007C6A07"/>
    <w:rsid w:val="007C75A1"/>
    <w:rsid w:val="007C77A5"/>
    <w:rsid w:val="007D04E5"/>
    <w:rsid w:val="007D2EC4"/>
    <w:rsid w:val="007D5901"/>
    <w:rsid w:val="007D7526"/>
    <w:rsid w:val="007E4610"/>
    <w:rsid w:val="007E4715"/>
    <w:rsid w:val="007E505B"/>
    <w:rsid w:val="007E7091"/>
    <w:rsid w:val="007F631D"/>
    <w:rsid w:val="00803FAE"/>
    <w:rsid w:val="00804F22"/>
    <w:rsid w:val="0080605F"/>
    <w:rsid w:val="00807786"/>
    <w:rsid w:val="00811FCB"/>
    <w:rsid w:val="008158D6"/>
    <w:rsid w:val="00816BC0"/>
    <w:rsid w:val="00817196"/>
    <w:rsid w:val="008235DB"/>
    <w:rsid w:val="00824AB4"/>
    <w:rsid w:val="00825C42"/>
    <w:rsid w:val="00825D25"/>
    <w:rsid w:val="00827D6F"/>
    <w:rsid w:val="008376AC"/>
    <w:rsid w:val="008414A3"/>
    <w:rsid w:val="008444E8"/>
    <w:rsid w:val="00844E80"/>
    <w:rsid w:val="00846FE7"/>
    <w:rsid w:val="00856911"/>
    <w:rsid w:val="00861F77"/>
    <w:rsid w:val="00863CC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719"/>
    <w:rsid w:val="008B1CC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2DA"/>
    <w:rsid w:val="008F1EAB"/>
    <w:rsid w:val="008F33DC"/>
    <w:rsid w:val="008F477F"/>
    <w:rsid w:val="00902350"/>
    <w:rsid w:val="0090336B"/>
    <w:rsid w:val="009053AA"/>
    <w:rsid w:val="00906939"/>
    <w:rsid w:val="00910B7D"/>
    <w:rsid w:val="00911DFB"/>
    <w:rsid w:val="009126E8"/>
    <w:rsid w:val="009139D9"/>
    <w:rsid w:val="00914AD8"/>
    <w:rsid w:val="00916079"/>
    <w:rsid w:val="00917CE9"/>
    <w:rsid w:val="00920BF2"/>
    <w:rsid w:val="00922010"/>
    <w:rsid w:val="00931BD9"/>
    <w:rsid w:val="009368F3"/>
    <w:rsid w:val="00941636"/>
    <w:rsid w:val="00943742"/>
    <w:rsid w:val="00943CDD"/>
    <w:rsid w:val="00945C05"/>
    <w:rsid w:val="00946945"/>
    <w:rsid w:val="00947713"/>
    <w:rsid w:val="00950DE7"/>
    <w:rsid w:val="00953920"/>
    <w:rsid w:val="00953D47"/>
    <w:rsid w:val="00954A43"/>
    <w:rsid w:val="0095681E"/>
    <w:rsid w:val="009572D4"/>
    <w:rsid w:val="00961921"/>
    <w:rsid w:val="0096430A"/>
    <w:rsid w:val="0096554B"/>
    <w:rsid w:val="0096584A"/>
    <w:rsid w:val="00971F08"/>
    <w:rsid w:val="0097603D"/>
    <w:rsid w:val="00976949"/>
    <w:rsid w:val="0097780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06300"/>
    <w:rsid w:val="00A13E54"/>
    <w:rsid w:val="00A17F63"/>
    <w:rsid w:val="00A2193B"/>
    <w:rsid w:val="00A22ACE"/>
    <w:rsid w:val="00A2351A"/>
    <w:rsid w:val="00A264A9"/>
    <w:rsid w:val="00A27785"/>
    <w:rsid w:val="00A30187"/>
    <w:rsid w:val="00A3202C"/>
    <w:rsid w:val="00A3448A"/>
    <w:rsid w:val="00A36297"/>
    <w:rsid w:val="00A41E2B"/>
    <w:rsid w:val="00A4509E"/>
    <w:rsid w:val="00A45B74"/>
    <w:rsid w:val="00A52E1D"/>
    <w:rsid w:val="00A61499"/>
    <w:rsid w:val="00A62A77"/>
    <w:rsid w:val="00A63483"/>
    <w:rsid w:val="00A657D7"/>
    <w:rsid w:val="00A660AC"/>
    <w:rsid w:val="00A67E6C"/>
    <w:rsid w:val="00A71B99"/>
    <w:rsid w:val="00A739D0"/>
    <w:rsid w:val="00A73F61"/>
    <w:rsid w:val="00A761D4"/>
    <w:rsid w:val="00A77EC4"/>
    <w:rsid w:val="00A85976"/>
    <w:rsid w:val="00A92879"/>
    <w:rsid w:val="00A9442A"/>
    <w:rsid w:val="00A963D0"/>
    <w:rsid w:val="00AA016F"/>
    <w:rsid w:val="00AA1ED6"/>
    <w:rsid w:val="00AA51D6"/>
    <w:rsid w:val="00AB0BC8"/>
    <w:rsid w:val="00AB11CA"/>
    <w:rsid w:val="00AB14D9"/>
    <w:rsid w:val="00AB42D1"/>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C20"/>
    <w:rsid w:val="00B006FE"/>
    <w:rsid w:val="00B007CB"/>
    <w:rsid w:val="00B02AA9"/>
    <w:rsid w:val="00B02FA3"/>
    <w:rsid w:val="00B05084"/>
    <w:rsid w:val="00B1259B"/>
    <w:rsid w:val="00B157F9"/>
    <w:rsid w:val="00B20256"/>
    <w:rsid w:val="00B20D09"/>
    <w:rsid w:val="00B23052"/>
    <w:rsid w:val="00B2763F"/>
    <w:rsid w:val="00B27AAC"/>
    <w:rsid w:val="00B30929"/>
    <w:rsid w:val="00B340D6"/>
    <w:rsid w:val="00B372AA"/>
    <w:rsid w:val="00B40445"/>
    <w:rsid w:val="00B41888"/>
    <w:rsid w:val="00B4257D"/>
    <w:rsid w:val="00B45A52"/>
    <w:rsid w:val="00B46175"/>
    <w:rsid w:val="00B664C7"/>
    <w:rsid w:val="00B7166F"/>
    <w:rsid w:val="00B739F6"/>
    <w:rsid w:val="00B81A6C"/>
    <w:rsid w:val="00B85DE5"/>
    <w:rsid w:val="00B90F73"/>
    <w:rsid w:val="00B93B59"/>
    <w:rsid w:val="00B9406A"/>
    <w:rsid w:val="00BA2280"/>
    <w:rsid w:val="00BA2A08"/>
    <w:rsid w:val="00BA3882"/>
    <w:rsid w:val="00BA56D2"/>
    <w:rsid w:val="00BA76E0"/>
    <w:rsid w:val="00BB2A25"/>
    <w:rsid w:val="00BB51E9"/>
    <w:rsid w:val="00BC0FDC"/>
    <w:rsid w:val="00BC3053"/>
    <w:rsid w:val="00BC4D2E"/>
    <w:rsid w:val="00BC7A33"/>
    <w:rsid w:val="00BD2543"/>
    <w:rsid w:val="00BD48AC"/>
    <w:rsid w:val="00BD5F1A"/>
    <w:rsid w:val="00BE1234"/>
    <w:rsid w:val="00BE21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6A83"/>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4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356"/>
    <w:rsid w:val="00D77B1D"/>
    <w:rsid w:val="00D8021F"/>
    <w:rsid w:val="00D80383"/>
    <w:rsid w:val="00D8157E"/>
    <w:rsid w:val="00D823C6"/>
    <w:rsid w:val="00D86CA3"/>
    <w:rsid w:val="00D871CE"/>
    <w:rsid w:val="00D9196D"/>
    <w:rsid w:val="00D92982"/>
    <w:rsid w:val="00DA305E"/>
    <w:rsid w:val="00DA5417"/>
    <w:rsid w:val="00DA56E8"/>
    <w:rsid w:val="00DB0A9F"/>
    <w:rsid w:val="00DB377D"/>
    <w:rsid w:val="00DC1441"/>
    <w:rsid w:val="00DC2D36"/>
    <w:rsid w:val="00DC53EF"/>
    <w:rsid w:val="00DE5608"/>
    <w:rsid w:val="00DE58D0"/>
    <w:rsid w:val="00DE654F"/>
    <w:rsid w:val="00DF0B6E"/>
    <w:rsid w:val="00DF15E0"/>
    <w:rsid w:val="00DF37A0"/>
    <w:rsid w:val="00DF4994"/>
    <w:rsid w:val="00DF74CA"/>
    <w:rsid w:val="00E110E7"/>
    <w:rsid w:val="00E11B20"/>
    <w:rsid w:val="00E17FA2"/>
    <w:rsid w:val="00E22330"/>
    <w:rsid w:val="00E273A1"/>
    <w:rsid w:val="00E30B5A"/>
    <w:rsid w:val="00E3123D"/>
    <w:rsid w:val="00E31461"/>
    <w:rsid w:val="00E31D0E"/>
    <w:rsid w:val="00E31D43"/>
    <w:rsid w:val="00E32608"/>
    <w:rsid w:val="00E337CA"/>
    <w:rsid w:val="00E34188"/>
    <w:rsid w:val="00E34B6E"/>
    <w:rsid w:val="00E35559"/>
    <w:rsid w:val="00E3723A"/>
    <w:rsid w:val="00E37860"/>
    <w:rsid w:val="00E433D4"/>
    <w:rsid w:val="00E446F1"/>
    <w:rsid w:val="00E46886"/>
    <w:rsid w:val="00E47AEF"/>
    <w:rsid w:val="00E51AC5"/>
    <w:rsid w:val="00E53B75"/>
    <w:rsid w:val="00E54E3B"/>
    <w:rsid w:val="00E57565"/>
    <w:rsid w:val="00E63838"/>
    <w:rsid w:val="00E64434"/>
    <w:rsid w:val="00E67C51"/>
    <w:rsid w:val="00E72EFC"/>
    <w:rsid w:val="00E758EC"/>
    <w:rsid w:val="00E8067A"/>
    <w:rsid w:val="00E8234C"/>
    <w:rsid w:val="00E83AA9"/>
    <w:rsid w:val="00E85928"/>
    <w:rsid w:val="00E87822"/>
    <w:rsid w:val="00E90395"/>
    <w:rsid w:val="00E90E49"/>
    <w:rsid w:val="00E917F9"/>
    <w:rsid w:val="00E9291C"/>
    <w:rsid w:val="00E93FFE"/>
    <w:rsid w:val="00E94F8A"/>
    <w:rsid w:val="00EA5319"/>
    <w:rsid w:val="00EA7A41"/>
    <w:rsid w:val="00EB077B"/>
    <w:rsid w:val="00EB24AB"/>
    <w:rsid w:val="00EB4EA2"/>
    <w:rsid w:val="00EC27C6"/>
    <w:rsid w:val="00EC4207"/>
    <w:rsid w:val="00EC5653"/>
    <w:rsid w:val="00EC71CE"/>
    <w:rsid w:val="00ED1006"/>
    <w:rsid w:val="00EE1007"/>
    <w:rsid w:val="00EE2C67"/>
    <w:rsid w:val="00EF18FE"/>
    <w:rsid w:val="00EF5787"/>
    <w:rsid w:val="00EF60D0"/>
    <w:rsid w:val="00EF62CF"/>
    <w:rsid w:val="00F0528D"/>
    <w:rsid w:val="00F06C67"/>
    <w:rsid w:val="00F06DFD"/>
    <w:rsid w:val="00F071D1"/>
    <w:rsid w:val="00F07533"/>
    <w:rsid w:val="00F10629"/>
    <w:rsid w:val="00F15FA5"/>
    <w:rsid w:val="00F209B7"/>
    <w:rsid w:val="00F21C2A"/>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9B9"/>
    <w:rsid w:val="00FC7429"/>
    <w:rsid w:val="00FD07F6"/>
    <w:rsid w:val="00FD1EC8"/>
    <w:rsid w:val="00FD47ED"/>
    <w:rsid w:val="00FD74DB"/>
    <w:rsid w:val="00FD75F9"/>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257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325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3257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32572"/>
    <w:pPr>
      <w:numPr>
        <w:ilvl w:val="2"/>
      </w:numPr>
      <w:spacing w:before="120"/>
      <w:outlineLvl w:val="2"/>
    </w:pPr>
    <w:rPr>
      <w:sz w:val="28"/>
      <w:szCs w:val="28"/>
    </w:rPr>
  </w:style>
  <w:style w:type="paragraph" w:styleId="Heading4">
    <w:name w:val="heading 4"/>
    <w:basedOn w:val="Heading3"/>
    <w:next w:val="Normal"/>
    <w:qFormat/>
    <w:rsid w:val="00432572"/>
    <w:pPr>
      <w:numPr>
        <w:ilvl w:val="3"/>
      </w:numPr>
      <w:outlineLvl w:val="3"/>
    </w:pPr>
    <w:rPr>
      <w:sz w:val="24"/>
      <w:szCs w:val="24"/>
    </w:rPr>
  </w:style>
  <w:style w:type="paragraph" w:styleId="Heading5">
    <w:name w:val="heading 5"/>
    <w:basedOn w:val="Heading4"/>
    <w:next w:val="Normal"/>
    <w:qFormat/>
    <w:rsid w:val="00432572"/>
    <w:pPr>
      <w:numPr>
        <w:ilvl w:val="4"/>
      </w:numPr>
      <w:outlineLvl w:val="4"/>
    </w:pPr>
    <w:rPr>
      <w:sz w:val="22"/>
      <w:szCs w:val="22"/>
    </w:rPr>
  </w:style>
  <w:style w:type="paragraph" w:styleId="Heading6">
    <w:name w:val="heading 6"/>
    <w:basedOn w:val="Normal"/>
    <w:next w:val="Normal"/>
    <w:qFormat/>
    <w:rsid w:val="00432572"/>
    <w:pPr>
      <w:keepNext/>
      <w:keepLines/>
      <w:numPr>
        <w:ilvl w:val="5"/>
        <w:numId w:val="1"/>
      </w:numPr>
      <w:spacing w:before="120"/>
      <w:outlineLvl w:val="5"/>
    </w:pPr>
    <w:rPr>
      <w:rFonts w:cs="Arial"/>
    </w:rPr>
  </w:style>
  <w:style w:type="paragraph" w:styleId="Heading7">
    <w:name w:val="heading 7"/>
    <w:basedOn w:val="Normal"/>
    <w:next w:val="Normal"/>
    <w:qFormat/>
    <w:rsid w:val="00432572"/>
    <w:pPr>
      <w:keepNext/>
      <w:keepLines/>
      <w:numPr>
        <w:ilvl w:val="6"/>
        <w:numId w:val="1"/>
      </w:numPr>
      <w:spacing w:before="120"/>
      <w:outlineLvl w:val="6"/>
    </w:pPr>
    <w:rPr>
      <w:rFonts w:cs="Arial"/>
    </w:rPr>
  </w:style>
  <w:style w:type="paragraph" w:styleId="Heading8">
    <w:name w:val="heading 8"/>
    <w:basedOn w:val="Heading7"/>
    <w:next w:val="Normal"/>
    <w:qFormat/>
    <w:rsid w:val="00432572"/>
    <w:pPr>
      <w:numPr>
        <w:ilvl w:val="7"/>
      </w:numPr>
      <w:outlineLvl w:val="7"/>
    </w:pPr>
  </w:style>
  <w:style w:type="paragraph" w:styleId="Heading9">
    <w:name w:val="heading 9"/>
    <w:basedOn w:val="Heading8"/>
    <w:next w:val="Normal"/>
    <w:qFormat/>
    <w:rsid w:val="004325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32572"/>
    <w:pPr>
      <w:spacing w:before="180"/>
      <w:ind w:left="2693" w:hanging="2693"/>
    </w:pPr>
    <w:rPr>
      <w:b w:val="0"/>
      <w:bCs/>
    </w:rPr>
  </w:style>
  <w:style w:type="paragraph" w:styleId="TOC1">
    <w:name w:val="toc 1"/>
    <w:aliases w:val="Observation TOC2"/>
    <w:uiPriority w:val="39"/>
    <w:rsid w:val="0043257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32572"/>
    <w:pPr>
      <w:keepNext/>
      <w:keepLines/>
      <w:spacing w:before="180"/>
      <w:jc w:val="center"/>
    </w:pPr>
  </w:style>
  <w:style w:type="paragraph" w:styleId="Caption">
    <w:name w:val="caption"/>
    <w:basedOn w:val="Normal"/>
    <w:next w:val="Normal"/>
    <w:qFormat/>
    <w:rsid w:val="00432572"/>
    <w:pPr>
      <w:spacing w:after="240"/>
      <w:jc w:val="center"/>
    </w:pPr>
    <w:rPr>
      <w:b/>
      <w:bCs/>
    </w:rPr>
  </w:style>
  <w:style w:type="paragraph" w:styleId="TOC5">
    <w:name w:val="toc 5"/>
    <w:aliases w:val="Observation TOC"/>
    <w:basedOn w:val="TOC4"/>
    <w:semiHidden/>
    <w:rsid w:val="00432572"/>
    <w:pPr>
      <w:tabs>
        <w:tab w:val="right" w:pos="1701"/>
      </w:tabs>
      <w:ind w:left="1701" w:hanging="1701"/>
    </w:pPr>
  </w:style>
  <w:style w:type="paragraph" w:styleId="TOC4">
    <w:name w:val="toc 4"/>
    <w:basedOn w:val="TOC3"/>
    <w:semiHidden/>
    <w:rsid w:val="00432572"/>
    <w:pPr>
      <w:ind w:left="1418" w:hanging="1418"/>
    </w:pPr>
  </w:style>
  <w:style w:type="paragraph" w:styleId="TOC3">
    <w:name w:val="toc 3"/>
    <w:basedOn w:val="TOC2"/>
    <w:semiHidden/>
    <w:rsid w:val="00432572"/>
    <w:pPr>
      <w:ind w:left="1134" w:hanging="1134"/>
    </w:pPr>
  </w:style>
  <w:style w:type="paragraph" w:styleId="TOC2">
    <w:name w:val="toc 2"/>
    <w:basedOn w:val="TOC1"/>
    <w:semiHidden/>
    <w:rsid w:val="00432572"/>
    <w:pPr>
      <w:keepNext w:val="0"/>
      <w:spacing w:before="0"/>
      <w:ind w:left="851" w:hanging="851"/>
    </w:pPr>
    <w:rPr>
      <w:szCs w:val="20"/>
    </w:rPr>
  </w:style>
  <w:style w:type="paragraph" w:styleId="Index2">
    <w:name w:val="index 2"/>
    <w:basedOn w:val="Index1"/>
    <w:semiHidden/>
    <w:rsid w:val="00432572"/>
    <w:pPr>
      <w:ind w:left="284"/>
    </w:pPr>
  </w:style>
  <w:style w:type="paragraph" w:styleId="Index1">
    <w:name w:val="index 1"/>
    <w:basedOn w:val="Normal"/>
    <w:semiHidden/>
    <w:rsid w:val="00432572"/>
    <w:pPr>
      <w:keepLines/>
      <w:spacing w:after="0"/>
    </w:pPr>
  </w:style>
  <w:style w:type="paragraph" w:styleId="DocumentMap">
    <w:name w:val="Document Map"/>
    <w:basedOn w:val="Normal"/>
    <w:semiHidden/>
    <w:rsid w:val="00432572"/>
    <w:pPr>
      <w:shd w:val="clear" w:color="auto" w:fill="000080"/>
    </w:pPr>
    <w:rPr>
      <w:rFonts w:ascii="Tahoma" w:hAnsi="Tahoma" w:cs="Tahoma"/>
    </w:rPr>
  </w:style>
  <w:style w:type="paragraph" w:styleId="ListNumber2">
    <w:name w:val="List Number 2"/>
    <w:basedOn w:val="ListNumber"/>
    <w:rsid w:val="00432572"/>
    <w:pPr>
      <w:ind w:left="851"/>
    </w:pPr>
  </w:style>
  <w:style w:type="paragraph" w:styleId="ListNumber">
    <w:name w:val="List Number"/>
    <w:basedOn w:val="List"/>
    <w:rsid w:val="00432572"/>
  </w:style>
  <w:style w:type="paragraph" w:styleId="List">
    <w:name w:val="List"/>
    <w:basedOn w:val="Normal"/>
    <w:rsid w:val="00432572"/>
    <w:pPr>
      <w:ind w:left="568" w:hanging="284"/>
    </w:pPr>
  </w:style>
  <w:style w:type="paragraph" w:styleId="Header">
    <w:name w:val="header"/>
    <w:rsid w:val="0043257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32572"/>
    <w:rPr>
      <w:b/>
      <w:bCs/>
      <w:position w:val="6"/>
      <w:sz w:val="16"/>
      <w:szCs w:val="16"/>
    </w:rPr>
  </w:style>
  <w:style w:type="paragraph" w:styleId="FootnoteText">
    <w:name w:val="footnote text"/>
    <w:basedOn w:val="Normal"/>
    <w:semiHidden/>
    <w:rsid w:val="00432572"/>
    <w:pPr>
      <w:keepLines/>
      <w:spacing w:after="0"/>
      <w:ind w:left="454" w:hanging="454"/>
    </w:pPr>
    <w:rPr>
      <w:sz w:val="16"/>
      <w:szCs w:val="16"/>
    </w:rPr>
  </w:style>
  <w:style w:type="paragraph" w:customStyle="1" w:styleId="3GPPHeader">
    <w:name w:val="3GPP_Header"/>
    <w:basedOn w:val="Normal"/>
    <w:rsid w:val="00432572"/>
    <w:pPr>
      <w:tabs>
        <w:tab w:val="left" w:pos="1701"/>
        <w:tab w:val="right" w:pos="9639"/>
      </w:tabs>
      <w:spacing w:after="240"/>
    </w:pPr>
    <w:rPr>
      <w:b/>
      <w:sz w:val="24"/>
    </w:rPr>
  </w:style>
  <w:style w:type="paragraph" w:styleId="TOC9">
    <w:name w:val="toc 9"/>
    <w:basedOn w:val="TOC8"/>
    <w:semiHidden/>
    <w:rsid w:val="00432572"/>
    <w:pPr>
      <w:ind w:left="1418" w:hanging="1418"/>
    </w:pPr>
  </w:style>
  <w:style w:type="paragraph" w:styleId="TOC6">
    <w:name w:val="toc 6"/>
    <w:basedOn w:val="TOC5"/>
    <w:next w:val="Normal"/>
    <w:semiHidden/>
    <w:rsid w:val="00432572"/>
    <w:pPr>
      <w:ind w:left="1985" w:hanging="1985"/>
    </w:pPr>
  </w:style>
  <w:style w:type="paragraph" w:styleId="TOC7">
    <w:name w:val="toc 7"/>
    <w:basedOn w:val="TOC6"/>
    <w:next w:val="Normal"/>
    <w:semiHidden/>
    <w:rsid w:val="00432572"/>
    <w:pPr>
      <w:ind w:left="2268" w:hanging="2268"/>
    </w:pPr>
  </w:style>
  <w:style w:type="paragraph" w:styleId="ListBullet2">
    <w:name w:val="List Bullet 2"/>
    <w:basedOn w:val="ListBullet"/>
    <w:rsid w:val="00432572"/>
    <w:pPr>
      <w:numPr>
        <w:numId w:val="6"/>
      </w:numPr>
    </w:pPr>
  </w:style>
  <w:style w:type="paragraph" w:styleId="ListBullet">
    <w:name w:val="List Bullet"/>
    <w:basedOn w:val="BodyText"/>
    <w:rsid w:val="00432572"/>
    <w:pPr>
      <w:numPr>
        <w:numId w:val="5"/>
      </w:numPr>
    </w:pPr>
  </w:style>
  <w:style w:type="paragraph" w:styleId="ListBullet3">
    <w:name w:val="List Bullet 3"/>
    <w:basedOn w:val="ListBullet2"/>
    <w:rsid w:val="00432572"/>
    <w:pPr>
      <w:numPr>
        <w:numId w:val="7"/>
      </w:numPr>
    </w:pPr>
  </w:style>
  <w:style w:type="paragraph" w:customStyle="1" w:styleId="EQ">
    <w:name w:val="EQ"/>
    <w:basedOn w:val="Normal"/>
    <w:next w:val="Normal"/>
    <w:rsid w:val="00432572"/>
    <w:pPr>
      <w:keepLines/>
      <w:tabs>
        <w:tab w:val="center" w:pos="4536"/>
        <w:tab w:val="right" w:pos="9072"/>
      </w:tabs>
      <w:spacing w:after="180"/>
      <w:jc w:val="left"/>
    </w:pPr>
    <w:rPr>
      <w:noProof/>
      <w:lang w:eastAsia="en-US"/>
    </w:rPr>
  </w:style>
  <w:style w:type="paragraph" w:styleId="List2">
    <w:name w:val="List 2"/>
    <w:basedOn w:val="List"/>
    <w:rsid w:val="00432572"/>
    <w:pPr>
      <w:ind w:left="851"/>
    </w:pPr>
  </w:style>
  <w:style w:type="paragraph" w:styleId="List3">
    <w:name w:val="List 3"/>
    <w:basedOn w:val="List2"/>
    <w:rsid w:val="00432572"/>
    <w:pPr>
      <w:ind w:left="1135"/>
    </w:pPr>
  </w:style>
  <w:style w:type="paragraph" w:styleId="List4">
    <w:name w:val="List 4"/>
    <w:basedOn w:val="List3"/>
    <w:rsid w:val="00432572"/>
    <w:pPr>
      <w:ind w:left="1418"/>
    </w:pPr>
  </w:style>
  <w:style w:type="paragraph" w:styleId="List5">
    <w:name w:val="List 5"/>
    <w:basedOn w:val="List4"/>
    <w:rsid w:val="00432572"/>
    <w:pPr>
      <w:ind w:left="1702"/>
    </w:pPr>
  </w:style>
  <w:style w:type="paragraph" w:customStyle="1" w:styleId="EditorsNote">
    <w:name w:val="Editor's Note"/>
    <w:basedOn w:val="Normal"/>
    <w:rsid w:val="00432572"/>
    <w:pPr>
      <w:keepLines/>
      <w:spacing w:after="180"/>
      <w:ind w:left="1135" w:hanging="851"/>
      <w:jc w:val="left"/>
    </w:pPr>
    <w:rPr>
      <w:color w:val="FF0000"/>
      <w:lang w:eastAsia="en-US"/>
    </w:rPr>
  </w:style>
  <w:style w:type="paragraph" w:styleId="ListBullet4">
    <w:name w:val="List Bullet 4"/>
    <w:basedOn w:val="ListBullet3"/>
    <w:rsid w:val="00432572"/>
    <w:pPr>
      <w:numPr>
        <w:numId w:val="8"/>
      </w:numPr>
    </w:pPr>
  </w:style>
  <w:style w:type="paragraph" w:styleId="ListBullet5">
    <w:name w:val="List Bullet 5"/>
    <w:basedOn w:val="ListBullet4"/>
    <w:rsid w:val="00432572"/>
    <w:pPr>
      <w:numPr>
        <w:numId w:val="4"/>
      </w:numPr>
    </w:pPr>
  </w:style>
  <w:style w:type="paragraph" w:styleId="Footer">
    <w:name w:val="footer"/>
    <w:basedOn w:val="Header"/>
    <w:semiHidden/>
    <w:rsid w:val="00432572"/>
    <w:pPr>
      <w:jc w:val="center"/>
    </w:pPr>
    <w:rPr>
      <w:i/>
      <w:iCs/>
    </w:rPr>
  </w:style>
  <w:style w:type="paragraph" w:customStyle="1" w:styleId="Reference">
    <w:name w:val="Reference"/>
    <w:basedOn w:val="Normal"/>
    <w:rsid w:val="00432572"/>
    <w:pPr>
      <w:numPr>
        <w:numId w:val="2"/>
      </w:numPr>
    </w:pPr>
  </w:style>
  <w:style w:type="paragraph" w:styleId="BalloonText">
    <w:name w:val="Balloon Text"/>
    <w:basedOn w:val="Normal"/>
    <w:semiHidden/>
    <w:rsid w:val="00432572"/>
    <w:rPr>
      <w:rFonts w:ascii="Tahoma" w:hAnsi="Tahoma" w:cs="Tahoma"/>
      <w:sz w:val="16"/>
      <w:szCs w:val="16"/>
    </w:rPr>
  </w:style>
  <w:style w:type="character" w:styleId="PageNumber">
    <w:name w:val="page number"/>
    <w:basedOn w:val="DefaultParagraphFont"/>
    <w:semiHidden/>
    <w:rsid w:val="00432572"/>
  </w:style>
  <w:style w:type="paragraph" w:styleId="BodyText">
    <w:name w:val="Body Text"/>
    <w:basedOn w:val="Normal"/>
    <w:link w:val="BodyTextChar"/>
    <w:rsid w:val="00432572"/>
  </w:style>
  <w:style w:type="character" w:styleId="Hyperlink">
    <w:name w:val="Hyperlink"/>
    <w:uiPriority w:val="99"/>
    <w:rsid w:val="00432572"/>
    <w:rPr>
      <w:color w:val="0000FF"/>
      <w:u w:val="single"/>
      <w:lang w:val="en-GB"/>
    </w:rPr>
  </w:style>
  <w:style w:type="character" w:styleId="FollowedHyperlink">
    <w:name w:val="FollowedHyperlink"/>
    <w:semiHidden/>
    <w:rsid w:val="00432572"/>
    <w:rPr>
      <w:color w:val="FF0000"/>
      <w:u w:val="single"/>
    </w:rPr>
  </w:style>
  <w:style w:type="character" w:styleId="CommentReference">
    <w:name w:val="annotation reference"/>
    <w:semiHidden/>
    <w:rsid w:val="00432572"/>
    <w:rPr>
      <w:sz w:val="16"/>
      <w:szCs w:val="16"/>
    </w:rPr>
  </w:style>
  <w:style w:type="paragraph" w:styleId="CommentText">
    <w:name w:val="annotation text"/>
    <w:basedOn w:val="Normal"/>
    <w:semiHidden/>
    <w:rsid w:val="00432572"/>
  </w:style>
  <w:style w:type="paragraph" w:styleId="CommentSubject">
    <w:name w:val="annotation subject"/>
    <w:basedOn w:val="CommentText"/>
    <w:next w:val="CommentText"/>
    <w:semiHidden/>
    <w:rsid w:val="00432572"/>
    <w:rPr>
      <w:b/>
      <w:bCs/>
    </w:rPr>
  </w:style>
  <w:style w:type="character" w:customStyle="1" w:styleId="Heading1Char">
    <w:name w:val="Heading 1 Char"/>
    <w:link w:val="Heading1"/>
    <w:rsid w:val="00432572"/>
    <w:rPr>
      <w:rFonts w:ascii="Arial" w:hAnsi="Arial" w:cs="Arial"/>
      <w:sz w:val="36"/>
      <w:szCs w:val="36"/>
      <w:lang w:val="en-GB" w:eastAsia="zh-CN"/>
    </w:rPr>
  </w:style>
  <w:style w:type="paragraph" w:customStyle="1" w:styleId="B1">
    <w:name w:val="B1"/>
    <w:basedOn w:val="List"/>
    <w:rsid w:val="00432572"/>
    <w:pPr>
      <w:spacing w:after="180"/>
      <w:jc w:val="left"/>
    </w:pPr>
    <w:rPr>
      <w:lang w:eastAsia="en-US"/>
    </w:rPr>
  </w:style>
  <w:style w:type="paragraph" w:customStyle="1" w:styleId="B2">
    <w:name w:val="B2"/>
    <w:basedOn w:val="List2"/>
    <w:rsid w:val="00432572"/>
    <w:pPr>
      <w:spacing w:after="180"/>
      <w:jc w:val="left"/>
    </w:pPr>
    <w:rPr>
      <w:lang w:eastAsia="en-US"/>
    </w:rPr>
  </w:style>
  <w:style w:type="paragraph" w:customStyle="1" w:styleId="B3">
    <w:name w:val="B3"/>
    <w:basedOn w:val="List3"/>
    <w:rsid w:val="00432572"/>
    <w:pPr>
      <w:spacing w:after="180"/>
      <w:jc w:val="left"/>
    </w:pPr>
    <w:rPr>
      <w:lang w:eastAsia="en-US"/>
    </w:rPr>
  </w:style>
  <w:style w:type="paragraph" w:customStyle="1" w:styleId="B4">
    <w:name w:val="B4"/>
    <w:basedOn w:val="List4"/>
    <w:rsid w:val="00432572"/>
    <w:pPr>
      <w:spacing w:after="180"/>
      <w:jc w:val="left"/>
    </w:pPr>
    <w:rPr>
      <w:lang w:eastAsia="en-US"/>
    </w:rPr>
  </w:style>
  <w:style w:type="paragraph" w:customStyle="1" w:styleId="Proposal">
    <w:name w:val="Proposal"/>
    <w:basedOn w:val="Normal"/>
    <w:rsid w:val="00432572"/>
    <w:pPr>
      <w:numPr>
        <w:numId w:val="3"/>
      </w:numPr>
      <w:tabs>
        <w:tab w:val="clear" w:pos="1304"/>
        <w:tab w:val="left" w:pos="1701"/>
      </w:tabs>
      <w:ind w:left="1701" w:hanging="1701"/>
    </w:pPr>
    <w:rPr>
      <w:b/>
      <w:bCs/>
    </w:rPr>
  </w:style>
  <w:style w:type="character" w:customStyle="1" w:styleId="BodyTextChar">
    <w:name w:val="Body Text Char"/>
    <w:link w:val="BodyText"/>
    <w:rsid w:val="00432572"/>
    <w:rPr>
      <w:rFonts w:ascii="Arial" w:hAnsi="Arial"/>
      <w:lang w:val="en-GB" w:eastAsia="zh-CN"/>
    </w:rPr>
  </w:style>
  <w:style w:type="paragraph" w:customStyle="1" w:styleId="B5">
    <w:name w:val="B5"/>
    <w:basedOn w:val="List5"/>
    <w:rsid w:val="00432572"/>
    <w:pPr>
      <w:spacing w:after="180"/>
      <w:jc w:val="left"/>
    </w:pPr>
    <w:rPr>
      <w:lang w:eastAsia="en-US"/>
    </w:rPr>
  </w:style>
  <w:style w:type="paragraph" w:customStyle="1" w:styleId="EX">
    <w:name w:val="EX"/>
    <w:basedOn w:val="Normal"/>
    <w:rsid w:val="00432572"/>
    <w:pPr>
      <w:keepLines/>
      <w:spacing w:after="180"/>
      <w:ind w:left="1702" w:hanging="1418"/>
      <w:jc w:val="left"/>
    </w:pPr>
    <w:rPr>
      <w:lang w:eastAsia="en-US"/>
    </w:rPr>
  </w:style>
  <w:style w:type="paragraph" w:customStyle="1" w:styleId="EW">
    <w:name w:val="EW"/>
    <w:basedOn w:val="EX"/>
    <w:rsid w:val="00432572"/>
    <w:pPr>
      <w:spacing w:after="0"/>
    </w:pPr>
  </w:style>
  <w:style w:type="paragraph" w:customStyle="1" w:styleId="TAL">
    <w:name w:val="TAL"/>
    <w:basedOn w:val="Normal"/>
    <w:rsid w:val="00432572"/>
    <w:pPr>
      <w:keepNext/>
      <w:keepLines/>
      <w:spacing w:after="0"/>
      <w:jc w:val="left"/>
    </w:pPr>
    <w:rPr>
      <w:sz w:val="18"/>
      <w:lang w:eastAsia="en-US"/>
    </w:rPr>
  </w:style>
  <w:style w:type="paragraph" w:customStyle="1" w:styleId="TAC">
    <w:name w:val="TAC"/>
    <w:basedOn w:val="TAL"/>
    <w:rsid w:val="00432572"/>
    <w:pPr>
      <w:jc w:val="center"/>
    </w:pPr>
  </w:style>
  <w:style w:type="paragraph" w:customStyle="1" w:styleId="TAH">
    <w:name w:val="TAH"/>
    <w:basedOn w:val="TAC"/>
    <w:rsid w:val="00432572"/>
    <w:rPr>
      <w:b/>
    </w:rPr>
  </w:style>
  <w:style w:type="paragraph" w:customStyle="1" w:styleId="TAN">
    <w:name w:val="TAN"/>
    <w:basedOn w:val="TAL"/>
    <w:rsid w:val="00432572"/>
    <w:pPr>
      <w:ind w:left="851" w:hanging="851"/>
    </w:pPr>
  </w:style>
  <w:style w:type="paragraph" w:customStyle="1" w:styleId="TAR">
    <w:name w:val="TAR"/>
    <w:basedOn w:val="TAL"/>
    <w:rsid w:val="00432572"/>
    <w:pPr>
      <w:jc w:val="right"/>
    </w:pPr>
  </w:style>
  <w:style w:type="paragraph" w:customStyle="1" w:styleId="TH">
    <w:name w:val="TH"/>
    <w:basedOn w:val="Normal"/>
    <w:rsid w:val="00432572"/>
    <w:pPr>
      <w:keepNext/>
      <w:keepLines/>
      <w:spacing w:before="60" w:after="180"/>
      <w:jc w:val="center"/>
    </w:pPr>
    <w:rPr>
      <w:b/>
      <w:lang w:eastAsia="en-US"/>
    </w:rPr>
  </w:style>
  <w:style w:type="paragraph" w:customStyle="1" w:styleId="TF">
    <w:name w:val="TF"/>
    <w:basedOn w:val="TH"/>
    <w:rsid w:val="00432572"/>
    <w:pPr>
      <w:keepNext w:val="0"/>
      <w:spacing w:before="0" w:after="240"/>
    </w:pPr>
  </w:style>
  <w:style w:type="paragraph" w:customStyle="1" w:styleId="TT">
    <w:name w:val="TT"/>
    <w:basedOn w:val="Heading1"/>
    <w:next w:val="Normal"/>
    <w:rsid w:val="00432572"/>
    <w:pPr>
      <w:numPr>
        <w:numId w:val="0"/>
      </w:numPr>
      <w:ind w:left="1134" w:hanging="1134"/>
      <w:outlineLvl w:val="9"/>
    </w:pPr>
    <w:rPr>
      <w:rFonts w:cs="Times New Roman"/>
      <w:szCs w:val="20"/>
      <w:lang w:eastAsia="en-US"/>
    </w:rPr>
  </w:style>
  <w:style w:type="paragraph" w:customStyle="1" w:styleId="ZA">
    <w:name w:val="ZA"/>
    <w:rsid w:val="0043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25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325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32572"/>
  </w:style>
  <w:style w:type="paragraph" w:customStyle="1" w:styleId="ZH">
    <w:name w:val="ZH"/>
    <w:rsid w:val="004325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325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32572"/>
    <w:pPr>
      <w:framePr w:hRule="auto" w:wrap="notBeside" w:y="852"/>
    </w:pPr>
    <w:rPr>
      <w:i w:val="0"/>
      <w:sz w:val="40"/>
    </w:rPr>
  </w:style>
  <w:style w:type="paragraph" w:customStyle="1" w:styleId="ZU">
    <w:name w:val="ZU"/>
    <w:rsid w:val="0043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2572"/>
    <w:pPr>
      <w:framePr w:wrap="notBeside" w:y="16161"/>
    </w:pPr>
  </w:style>
  <w:style w:type="paragraph" w:customStyle="1" w:styleId="FP">
    <w:name w:val="FP"/>
    <w:basedOn w:val="Normal"/>
    <w:rsid w:val="00432572"/>
    <w:pPr>
      <w:spacing w:after="0"/>
      <w:jc w:val="left"/>
    </w:pPr>
    <w:rPr>
      <w:lang w:eastAsia="en-US"/>
    </w:rPr>
  </w:style>
  <w:style w:type="paragraph" w:customStyle="1" w:styleId="Observation">
    <w:name w:val="Observation"/>
    <w:basedOn w:val="Proposal"/>
    <w:qFormat/>
    <w:rsid w:val="00432572"/>
    <w:pPr>
      <w:numPr>
        <w:numId w:val="13"/>
      </w:numPr>
      <w:ind w:left="1701" w:hanging="1701"/>
    </w:pPr>
  </w:style>
  <w:style w:type="paragraph" w:styleId="TableofFigures">
    <w:name w:val="table of figures"/>
    <w:basedOn w:val="Normal"/>
    <w:next w:val="Normal"/>
    <w:uiPriority w:val="99"/>
    <w:rsid w:val="00432572"/>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0F1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257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325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3257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32572"/>
    <w:pPr>
      <w:numPr>
        <w:ilvl w:val="2"/>
      </w:numPr>
      <w:spacing w:before="120"/>
      <w:outlineLvl w:val="2"/>
    </w:pPr>
    <w:rPr>
      <w:sz w:val="28"/>
      <w:szCs w:val="28"/>
    </w:rPr>
  </w:style>
  <w:style w:type="paragraph" w:styleId="Heading4">
    <w:name w:val="heading 4"/>
    <w:basedOn w:val="Heading3"/>
    <w:next w:val="Normal"/>
    <w:qFormat/>
    <w:rsid w:val="00432572"/>
    <w:pPr>
      <w:numPr>
        <w:ilvl w:val="3"/>
      </w:numPr>
      <w:outlineLvl w:val="3"/>
    </w:pPr>
    <w:rPr>
      <w:sz w:val="24"/>
      <w:szCs w:val="24"/>
    </w:rPr>
  </w:style>
  <w:style w:type="paragraph" w:styleId="Heading5">
    <w:name w:val="heading 5"/>
    <w:basedOn w:val="Heading4"/>
    <w:next w:val="Normal"/>
    <w:qFormat/>
    <w:rsid w:val="00432572"/>
    <w:pPr>
      <w:numPr>
        <w:ilvl w:val="4"/>
      </w:numPr>
      <w:outlineLvl w:val="4"/>
    </w:pPr>
    <w:rPr>
      <w:sz w:val="22"/>
      <w:szCs w:val="22"/>
    </w:rPr>
  </w:style>
  <w:style w:type="paragraph" w:styleId="Heading6">
    <w:name w:val="heading 6"/>
    <w:basedOn w:val="Normal"/>
    <w:next w:val="Normal"/>
    <w:qFormat/>
    <w:rsid w:val="00432572"/>
    <w:pPr>
      <w:keepNext/>
      <w:keepLines/>
      <w:numPr>
        <w:ilvl w:val="5"/>
        <w:numId w:val="1"/>
      </w:numPr>
      <w:spacing w:before="120"/>
      <w:outlineLvl w:val="5"/>
    </w:pPr>
    <w:rPr>
      <w:rFonts w:cs="Arial"/>
    </w:rPr>
  </w:style>
  <w:style w:type="paragraph" w:styleId="Heading7">
    <w:name w:val="heading 7"/>
    <w:basedOn w:val="Normal"/>
    <w:next w:val="Normal"/>
    <w:qFormat/>
    <w:rsid w:val="00432572"/>
    <w:pPr>
      <w:keepNext/>
      <w:keepLines/>
      <w:numPr>
        <w:ilvl w:val="6"/>
        <w:numId w:val="1"/>
      </w:numPr>
      <w:spacing w:before="120"/>
      <w:outlineLvl w:val="6"/>
    </w:pPr>
    <w:rPr>
      <w:rFonts w:cs="Arial"/>
    </w:rPr>
  </w:style>
  <w:style w:type="paragraph" w:styleId="Heading8">
    <w:name w:val="heading 8"/>
    <w:basedOn w:val="Heading7"/>
    <w:next w:val="Normal"/>
    <w:qFormat/>
    <w:rsid w:val="00432572"/>
    <w:pPr>
      <w:numPr>
        <w:ilvl w:val="7"/>
      </w:numPr>
      <w:outlineLvl w:val="7"/>
    </w:pPr>
  </w:style>
  <w:style w:type="paragraph" w:styleId="Heading9">
    <w:name w:val="heading 9"/>
    <w:basedOn w:val="Heading8"/>
    <w:next w:val="Normal"/>
    <w:qFormat/>
    <w:rsid w:val="004325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32572"/>
    <w:pPr>
      <w:spacing w:before="180"/>
      <w:ind w:left="2693" w:hanging="2693"/>
    </w:pPr>
    <w:rPr>
      <w:b w:val="0"/>
      <w:bCs/>
    </w:rPr>
  </w:style>
  <w:style w:type="paragraph" w:styleId="TOC1">
    <w:name w:val="toc 1"/>
    <w:aliases w:val="Observation TOC2"/>
    <w:uiPriority w:val="39"/>
    <w:rsid w:val="0043257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32572"/>
    <w:pPr>
      <w:keepNext/>
      <w:keepLines/>
      <w:spacing w:before="180"/>
      <w:jc w:val="center"/>
    </w:pPr>
  </w:style>
  <w:style w:type="paragraph" w:styleId="Caption">
    <w:name w:val="caption"/>
    <w:basedOn w:val="Normal"/>
    <w:next w:val="Normal"/>
    <w:qFormat/>
    <w:rsid w:val="00432572"/>
    <w:pPr>
      <w:spacing w:after="240"/>
      <w:jc w:val="center"/>
    </w:pPr>
    <w:rPr>
      <w:b/>
      <w:bCs/>
    </w:rPr>
  </w:style>
  <w:style w:type="paragraph" w:styleId="TOC5">
    <w:name w:val="toc 5"/>
    <w:aliases w:val="Observation TOC"/>
    <w:basedOn w:val="TOC4"/>
    <w:semiHidden/>
    <w:rsid w:val="00432572"/>
    <w:pPr>
      <w:tabs>
        <w:tab w:val="right" w:pos="1701"/>
      </w:tabs>
      <w:ind w:left="1701" w:hanging="1701"/>
    </w:pPr>
  </w:style>
  <w:style w:type="paragraph" w:styleId="TOC4">
    <w:name w:val="toc 4"/>
    <w:basedOn w:val="TOC3"/>
    <w:semiHidden/>
    <w:rsid w:val="00432572"/>
    <w:pPr>
      <w:ind w:left="1418" w:hanging="1418"/>
    </w:pPr>
  </w:style>
  <w:style w:type="paragraph" w:styleId="TOC3">
    <w:name w:val="toc 3"/>
    <w:basedOn w:val="TOC2"/>
    <w:semiHidden/>
    <w:rsid w:val="00432572"/>
    <w:pPr>
      <w:ind w:left="1134" w:hanging="1134"/>
    </w:pPr>
  </w:style>
  <w:style w:type="paragraph" w:styleId="TOC2">
    <w:name w:val="toc 2"/>
    <w:basedOn w:val="TOC1"/>
    <w:semiHidden/>
    <w:rsid w:val="00432572"/>
    <w:pPr>
      <w:keepNext w:val="0"/>
      <w:spacing w:before="0"/>
      <w:ind w:left="851" w:hanging="851"/>
    </w:pPr>
    <w:rPr>
      <w:szCs w:val="20"/>
    </w:rPr>
  </w:style>
  <w:style w:type="paragraph" w:styleId="Index2">
    <w:name w:val="index 2"/>
    <w:basedOn w:val="Index1"/>
    <w:semiHidden/>
    <w:rsid w:val="00432572"/>
    <w:pPr>
      <w:ind w:left="284"/>
    </w:pPr>
  </w:style>
  <w:style w:type="paragraph" w:styleId="Index1">
    <w:name w:val="index 1"/>
    <w:basedOn w:val="Normal"/>
    <w:semiHidden/>
    <w:rsid w:val="00432572"/>
    <w:pPr>
      <w:keepLines/>
      <w:spacing w:after="0"/>
    </w:pPr>
  </w:style>
  <w:style w:type="paragraph" w:styleId="DocumentMap">
    <w:name w:val="Document Map"/>
    <w:basedOn w:val="Normal"/>
    <w:semiHidden/>
    <w:rsid w:val="00432572"/>
    <w:pPr>
      <w:shd w:val="clear" w:color="auto" w:fill="000080"/>
    </w:pPr>
    <w:rPr>
      <w:rFonts w:ascii="Tahoma" w:hAnsi="Tahoma" w:cs="Tahoma"/>
    </w:rPr>
  </w:style>
  <w:style w:type="paragraph" w:styleId="ListNumber2">
    <w:name w:val="List Number 2"/>
    <w:basedOn w:val="ListNumber"/>
    <w:rsid w:val="00432572"/>
    <w:pPr>
      <w:ind w:left="851"/>
    </w:pPr>
  </w:style>
  <w:style w:type="paragraph" w:styleId="ListNumber">
    <w:name w:val="List Number"/>
    <w:basedOn w:val="List"/>
    <w:rsid w:val="00432572"/>
  </w:style>
  <w:style w:type="paragraph" w:styleId="List">
    <w:name w:val="List"/>
    <w:basedOn w:val="Normal"/>
    <w:rsid w:val="00432572"/>
    <w:pPr>
      <w:ind w:left="568" w:hanging="284"/>
    </w:pPr>
  </w:style>
  <w:style w:type="paragraph" w:styleId="Header">
    <w:name w:val="header"/>
    <w:rsid w:val="0043257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32572"/>
    <w:rPr>
      <w:b/>
      <w:bCs/>
      <w:position w:val="6"/>
      <w:sz w:val="16"/>
      <w:szCs w:val="16"/>
    </w:rPr>
  </w:style>
  <w:style w:type="paragraph" w:styleId="FootnoteText">
    <w:name w:val="footnote text"/>
    <w:basedOn w:val="Normal"/>
    <w:semiHidden/>
    <w:rsid w:val="00432572"/>
    <w:pPr>
      <w:keepLines/>
      <w:spacing w:after="0"/>
      <w:ind w:left="454" w:hanging="454"/>
    </w:pPr>
    <w:rPr>
      <w:sz w:val="16"/>
      <w:szCs w:val="16"/>
    </w:rPr>
  </w:style>
  <w:style w:type="paragraph" w:customStyle="1" w:styleId="3GPPHeader">
    <w:name w:val="3GPP_Header"/>
    <w:basedOn w:val="Normal"/>
    <w:rsid w:val="00432572"/>
    <w:pPr>
      <w:tabs>
        <w:tab w:val="left" w:pos="1701"/>
        <w:tab w:val="right" w:pos="9639"/>
      </w:tabs>
      <w:spacing w:after="240"/>
    </w:pPr>
    <w:rPr>
      <w:b/>
      <w:sz w:val="24"/>
    </w:rPr>
  </w:style>
  <w:style w:type="paragraph" w:styleId="TOC9">
    <w:name w:val="toc 9"/>
    <w:basedOn w:val="TOC8"/>
    <w:semiHidden/>
    <w:rsid w:val="00432572"/>
    <w:pPr>
      <w:ind w:left="1418" w:hanging="1418"/>
    </w:pPr>
  </w:style>
  <w:style w:type="paragraph" w:styleId="TOC6">
    <w:name w:val="toc 6"/>
    <w:basedOn w:val="TOC5"/>
    <w:next w:val="Normal"/>
    <w:semiHidden/>
    <w:rsid w:val="00432572"/>
    <w:pPr>
      <w:ind w:left="1985" w:hanging="1985"/>
    </w:pPr>
  </w:style>
  <w:style w:type="paragraph" w:styleId="TOC7">
    <w:name w:val="toc 7"/>
    <w:basedOn w:val="TOC6"/>
    <w:next w:val="Normal"/>
    <w:semiHidden/>
    <w:rsid w:val="00432572"/>
    <w:pPr>
      <w:ind w:left="2268" w:hanging="2268"/>
    </w:pPr>
  </w:style>
  <w:style w:type="paragraph" w:styleId="ListBullet2">
    <w:name w:val="List Bullet 2"/>
    <w:basedOn w:val="ListBullet"/>
    <w:rsid w:val="00432572"/>
    <w:pPr>
      <w:numPr>
        <w:numId w:val="6"/>
      </w:numPr>
    </w:pPr>
  </w:style>
  <w:style w:type="paragraph" w:styleId="ListBullet">
    <w:name w:val="List Bullet"/>
    <w:basedOn w:val="BodyText"/>
    <w:rsid w:val="00432572"/>
    <w:pPr>
      <w:numPr>
        <w:numId w:val="5"/>
      </w:numPr>
    </w:pPr>
  </w:style>
  <w:style w:type="paragraph" w:styleId="ListBullet3">
    <w:name w:val="List Bullet 3"/>
    <w:basedOn w:val="ListBullet2"/>
    <w:rsid w:val="00432572"/>
    <w:pPr>
      <w:numPr>
        <w:numId w:val="7"/>
      </w:numPr>
    </w:pPr>
  </w:style>
  <w:style w:type="paragraph" w:customStyle="1" w:styleId="EQ">
    <w:name w:val="EQ"/>
    <w:basedOn w:val="Normal"/>
    <w:next w:val="Normal"/>
    <w:rsid w:val="00432572"/>
    <w:pPr>
      <w:keepLines/>
      <w:tabs>
        <w:tab w:val="center" w:pos="4536"/>
        <w:tab w:val="right" w:pos="9072"/>
      </w:tabs>
      <w:spacing w:after="180"/>
      <w:jc w:val="left"/>
    </w:pPr>
    <w:rPr>
      <w:noProof/>
      <w:lang w:eastAsia="en-US"/>
    </w:rPr>
  </w:style>
  <w:style w:type="paragraph" w:styleId="List2">
    <w:name w:val="List 2"/>
    <w:basedOn w:val="List"/>
    <w:rsid w:val="00432572"/>
    <w:pPr>
      <w:ind w:left="851"/>
    </w:pPr>
  </w:style>
  <w:style w:type="paragraph" w:styleId="List3">
    <w:name w:val="List 3"/>
    <w:basedOn w:val="List2"/>
    <w:rsid w:val="00432572"/>
    <w:pPr>
      <w:ind w:left="1135"/>
    </w:pPr>
  </w:style>
  <w:style w:type="paragraph" w:styleId="List4">
    <w:name w:val="List 4"/>
    <w:basedOn w:val="List3"/>
    <w:rsid w:val="00432572"/>
    <w:pPr>
      <w:ind w:left="1418"/>
    </w:pPr>
  </w:style>
  <w:style w:type="paragraph" w:styleId="List5">
    <w:name w:val="List 5"/>
    <w:basedOn w:val="List4"/>
    <w:rsid w:val="00432572"/>
    <w:pPr>
      <w:ind w:left="1702"/>
    </w:pPr>
  </w:style>
  <w:style w:type="paragraph" w:customStyle="1" w:styleId="EditorsNote">
    <w:name w:val="Editor's Note"/>
    <w:basedOn w:val="Normal"/>
    <w:rsid w:val="00432572"/>
    <w:pPr>
      <w:keepLines/>
      <w:spacing w:after="180"/>
      <w:ind w:left="1135" w:hanging="851"/>
      <w:jc w:val="left"/>
    </w:pPr>
    <w:rPr>
      <w:color w:val="FF0000"/>
      <w:lang w:eastAsia="en-US"/>
    </w:rPr>
  </w:style>
  <w:style w:type="paragraph" w:styleId="ListBullet4">
    <w:name w:val="List Bullet 4"/>
    <w:basedOn w:val="ListBullet3"/>
    <w:rsid w:val="00432572"/>
    <w:pPr>
      <w:numPr>
        <w:numId w:val="8"/>
      </w:numPr>
    </w:pPr>
  </w:style>
  <w:style w:type="paragraph" w:styleId="ListBullet5">
    <w:name w:val="List Bullet 5"/>
    <w:basedOn w:val="ListBullet4"/>
    <w:rsid w:val="00432572"/>
    <w:pPr>
      <w:numPr>
        <w:numId w:val="4"/>
      </w:numPr>
    </w:pPr>
  </w:style>
  <w:style w:type="paragraph" w:styleId="Footer">
    <w:name w:val="footer"/>
    <w:basedOn w:val="Header"/>
    <w:semiHidden/>
    <w:rsid w:val="00432572"/>
    <w:pPr>
      <w:jc w:val="center"/>
    </w:pPr>
    <w:rPr>
      <w:i/>
      <w:iCs/>
    </w:rPr>
  </w:style>
  <w:style w:type="paragraph" w:customStyle="1" w:styleId="Reference">
    <w:name w:val="Reference"/>
    <w:basedOn w:val="Normal"/>
    <w:rsid w:val="00432572"/>
    <w:pPr>
      <w:numPr>
        <w:numId w:val="2"/>
      </w:numPr>
    </w:pPr>
  </w:style>
  <w:style w:type="paragraph" w:styleId="BalloonText">
    <w:name w:val="Balloon Text"/>
    <w:basedOn w:val="Normal"/>
    <w:semiHidden/>
    <w:rsid w:val="00432572"/>
    <w:rPr>
      <w:rFonts w:ascii="Tahoma" w:hAnsi="Tahoma" w:cs="Tahoma"/>
      <w:sz w:val="16"/>
      <w:szCs w:val="16"/>
    </w:rPr>
  </w:style>
  <w:style w:type="character" w:styleId="PageNumber">
    <w:name w:val="page number"/>
    <w:basedOn w:val="DefaultParagraphFont"/>
    <w:semiHidden/>
    <w:rsid w:val="00432572"/>
  </w:style>
  <w:style w:type="paragraph" w:styleId="BodyText">
    <w:name w:val="Body Text"/>
    <w:basedOn w:val="Normal"/>
    <w:link w:val="BodyTextChar"/>
    <w:rsid w:val="00432572"/>
  </w:style>
  <w:style w:type="character" w:styleId="Hyperlink">
    <w:name w:val="Hyperlink"/>
    <w:uiPriority w:val="99"/>
    <w:rsid w:val="00432572"/>
    <w:rPr>
      <w:color w:val="0000FF"/>
      <w:u w:val="single"/>
      <w:lang w:val="en-GB"/>
    </w:rPr>
  </w:style>
  <w:style w:type="character" w:styleId="FollowedHyperlink">
    <w:name w:val="FollowedHyperlink"/>
    <w:semiHidden/>
    <w:rsid w:val="00432572"/>
    <w:rPr>
      <w:color w:val="FF0000"/>
      <w:u w:val="single"/>
    </w:rPr>
  </w:style>
  <w:style w:type="character" w:styleId="CommentReference">
    <w:name w:val="annotation reference"/>
    <w:semiHidden/>
    <w:rsid w:val="00432572"/>
    <w:rPr>
      <w:sz w:val="16"/>
      <w:szCs w:val="16"/>
    </w:rPr>
  </w:style>
  <w:style w:type="paragraph" w:styleId="CommentText">
    <w:name w:val="annotation text"/>
    <w:basedOn w:val="Normal"/>
    <w:semiHidden/>
    <w:rsid w:val="00432572"/>
  </w:style>
  <w:style w:type="paragraph" w:styleId="CommentSubject">
    <w:name w:val="annotation subject"/>
    <w:basedOn w:val="CommentText"/>
    <w:next w:val="CommentText"/>
    <w:semiHidden/>
    <w:rsid w:val="00432572"/>
    <w:rPr>
      <w:b/>
      <w:bCs/>
    </w:rPr>
  </w:style>
  <w:style w:type="character" w:customStyle="1" w:styleId="Heading1Char">
    <w:name w:val="Heading 1 Char"/>
    <w:link w:val="Heading1"/>
    <w:rsid w:val="00432572"/>
    <w:rPr>
      <w:rFonts w:ascii="Arial" w:hAnsi="Arial" w:cs="Arial"/>
      <w:sz w:val="36"/>
      <w:szCs w:val="36"/>
      <w:lang w:val="en-GB" w:eastAsia="zh-CN"/>
    </w:rPr>
  </w:style>
  <w:style w:type="paragraph" w:customStyle="1" w:styleId="B1">
    <w:name w:val="B1"/>
    <w:basedOn w:val="List"/>
    <w:rsid w:val="00432572"/>
    <w:pPr>
      <w:spacing w:after="180"/>
      <w:jc w:val="left"/>
    </w:pPr>
    <w:rPr>
      <w:lang w:eastAsia="en-US"/>
    </w:rPr>
  </w:style>
  <w:style w:type="paragraph" w:customStyle="1" w:styleId="B2">
    <w:name w:val="B2"/>
    <w:basedOn w:val="List2"/>
    <w:rsid w:val="00432572"/>
    <w:pPr>
      <w:spacing w:after="180"/>
      <w:jc w:val="left"/>
    </w:pPr>
    <w:rPr>
      <w:lang w:eastAsia="en-US"/>
    </w:rPr>
  </w:style>
  <w:style w:type="paragraph" w:customStyle="1" w:styleId="B3">
    <w:name w:val="B3"/>
    <w:basedOn w:val="List3"/>
    <w:rsid w:val="00432572"/>
    <w:pPr>
      <w:spacing w:after="180"/>
      <w:jc w:val="left"/>
    </w:pPr>
    <w:rPr>
      <w:lang w:eastAsia="en-US"/>
    </w:rPr>
  </w:style>
  <w:style w:type="paragraph" w:customStyle="1" w:styleId="B4">
    <w:name w:val="B4"/>
    <w:basedOn w:val="List4"/>
    <w:rsid w:val="00432572"/>
    <w:pPr>
      <w:spacing w:after="180"/>
      <w:jc w:val="left"/>
    </w:pPr>
    <w:rPr>
      <w:lang w:eastAsia="en-US"/>
    </w:rPr>
  </w:style>
  <w:style w:type="paragraph" w:customStyle="1" w:styleId="Proposal">
    <w:name w:val="Proposal"/>
    <w:basedOn w:val="Normal"/>
    <w:rsid w:val="00432572"/>
    <w:pPr>
      <w:numPr>
        <w:numId w:val="3"/>
      </w:numPr>
      <w:tabs>
        <w:tab w:val="clear" w:pos="1304"/>
        <w:tab w:val="left" w:pos="1701"/>
      </w:tabs>
      <w:ind w:left="1701" w:hanging="1701"/>
    </w:pPr>
    <w:rPr>
      <w:b/>
      <w:bCs/>
    </w:rPr>
  </w:style>
  <w:style w:type="character" w:customStyle="1" w:styleId="BodyTextChar">
    <w:name w:val="Body Text Char"/>
    <w:link w:val="BodyText"/>
    <w:rsid w:val="00432572"/>
    <w:rPr>
      <w:rFonts w:ascii="Arial" w:hAnsi="Arial"/>
      <w:lang w:val="en-GB" w:eastAsia="zh-CN"/>
    </w:rPr>
  </w:style>
  <w:style w:type="paragraph" w:customStyle="1" w:styleId="B5">
    <w:name w:val="B5"/>
    <w:basedOn w:val="List5"/>
    <w:rsid w:val="00432572"/>
    <w:pPr>
      <w:spacing w:after="180"/>
      <w:jc w:val="left"/>
    </w:pPr>
    <w:rPr>
      <w:lang w:eastAsia="en-US"/>
    </w:rPr>
  </w:style>
  <w:style w:type="paragraph" w:customStyle="1" w:styleId="EX">
    <w:name w:val="EX"/>
    <w:basedOn w:val="Normal"/>
    <w:rsid w:val="00432572"/>
    <w:pPr>
      <w:keepLines/>
      <w:spacing w:after="180"/>
      <w:ind w:left="1702" w:hanging="1418"/>
      <w:jc w:val="left"/>
    </w:pPr>
    <w:rPr>
      <w:lang w:eastAsia="en-US"/>
    </w:rPr>
  </w:style>
  <w:style w:type="paragraph" w:customStyle="1" w:styleId="EW">
    <w:name w:val="EW"/>
    <w:basedOn w:val="EX"/>
    <w:rsid w:val="00432572"/>
    <w:pPr>
      <w:spacing w:after="0"/>
    </w:pPr>
  </w:style>
  <w:style w:type="paragraph" w:customStyle="1" w:styleId="TAL">
    <w:name w:val="TAL"/>
    <w:basedOn w:val="Normal"/>
    <w:rsid w:val="00432572"/>
    <w:pPr>
      <w:keepNext/>
      <w:keepLines/>
      <w:spacing w:after="0"/>
      <w:jc w:val="left"/>
    </w:pPr>
    <w:rPr>
      <w:sz w:val="18"/>
      <w:lang w:eastAsia="en-US"/>
    </w:rPr>
  </w:style>
  <w:style w:type="paragraph" w:customStyle="1" w:styleId="TAC">
    <w:name w:val="TAC"/>
    <w:basedOn w:val="TAL"/>
    <w:rsid w:val="00432572"/>
    <w:pPr>
      <w:jc w:val="center"/>
    </w:pPr>
  </w:style>
  <w:style w:type="paragraph" w:customStyle="1" w:styleId="TAH">
    <w:name w:val="TAH"/>
    <w:basedOn w:val="TAC"/>
    <w:rsid w:val="00432572"/>
    <w:rPr>
      <w:b/>
    </w:rPr>
  </w:style>
  <w:style w:type="paragraph" w:customStyle="1" w:styleId="TAN">
    <w:name w:val="TAN"/>
    <w:basedOn w:val="TAL"/>
    <w:rsid w:val="00432572"/>
    <w:pPr>
      <w:ind w:left="851" w:hanging="851"/>
    </w:pPr>
  </w:style>
  <w:style w:type="paragraph" w:customStyle="1" w:styleId="TAR">
    <w:name w:val="TAR"/>
    <w:basedOn w:val="TAL"/>
    <w:rsid w:val="00432572"/>
    <w:pPr>
      <w:jc w:val="right"/>
    </w:pPr>
  </w:style>
  <w:style w:type="paragraph" w:customStyle="1" w:styleId="TH">
    <w:name w:val="TH"/>
    <w:basedOn w:val="Normal"/>
    <w:rsid w:val="00432572"/>
    <w:pPr>
      <w:keepNext/>
      <w:keepLines/>
      <w:spacing w:before="60" w:after="180"/>
      <w:jc w:val="center"/>
    </w:pPr>
    <w:rPr>
      <w:b/>
      <w:lang w:eastAsia="en-US"/>
    </w:rPr>
  </w:style>
  <w:style w:type="paragraph" w:customStyle="1" w:styleId="TF">
    <w:name w:val="TF"/>
    <w:basedOn w:val="TH"/>
    <w:rsid w:val="00432572"/>
    <w:pPr>
      <w:keepNext w:val="0"/>
      <w:spacing w:before="0" w:after="240"/>
    </w:pPr>
  </w:style>
  <w:style w:type="paragraph" w:customStyle="1" w:styleId="TT">
    <w:name w:val="TT"/>
    <w:basedOn w:val="Heading1"/>
    <w:next w:val="Normal"/>
    <w:rsid w:val="00432572"/>
    <w:pPr>
      <w:numPr>
        <w:numId w:val="0"/>
      </w:numPr>
      <w:ind w:left="1134" w:hanging="1134"/>
      <w:outlineLvl w:val="9"/>
    </w:pPr>
    <w:rPr>
      <w:rFonts w:cs="Times New Roman"/>
      <w:szCs w:val="20"/>
      <w:lang w:eastAsia="en-US"/>
    </w:rPr>
  </w:style>
  <w:style w:type="paragraph" w:customStyle="1" w:styleId="ZA">
    <w:name w:val="ZA"/>
    <w:rsid w:val="0043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25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325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32572"/>
  </w:style>
  <w:style w:type="paragraph" w:customStyle="1" w:styleId="ZH">
    <w:name w:val="ZH"/>
    <w:rsid w:val="004325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325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32572"/>
    <w:pPr>
      <w:framePr w:hRule="auto" w:wrap="notBeside" w:y="852"/>
    </w:pPr>
    <w:rPr>
      <w:i w:val="0"/>
      <w:sz w:val="40"/>
    </w:rPr>
  </w:style>
  <w:style w:type="paragraph" w:customStyle="1" w:styleId="ZU">
    <w:name w:val="ZU"/>
    <w:rsid w:val="0043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2572"/>
    <w:pPr>
      <w:framePr w:wrap="notBeside" w:y="16161"/>
    </w:pPr>
  </w:style>
  <w:style w:type="paragraph" w:customStyle="1" w:styleId="FP">
    <w:name w:val="FP"/>
    <w:basedOn w:val="Normal"/>
    <w:rsid w:val="00432572"/>
    <w:pPr>
      <w:spacing w:after="0"/>
      <w:jc w:val="left"/>
    </w:pPr>
    <w:rPr>
      <w:lang w:eastAsia="en-US"/>
    </w:rPr>
  </w:style>
  <w:style w:type="paragraph" w:customStyle="1" w:styleId="Observation">
    <w:name w:val="Observation"/>
    <w:basedOn w:val="Proposal"/>
    <w:qFormat/>
    <w:rsid w:val="00432572"/>
    <w:pPr>
      <w:numPr>
        <w:numId w:val="13"/>
      </w:numPr>
      <w:ind w:left="1701" w:hanging="1701"/>
    </w:pPr>
  </w:style>
  <w:style w:type="paragraph" w:styleId="TableofFigures">
    <w:name w:val="table of figures"/>
    <w:basedOn w:val="Normal"/>
    <w:next w:val="Normal"/>
    <w:uiPriority w:val="99"/>
    <w:rsid w:val="00432572"/>
    <w:pPr>
      <w:ind w:left="1418" w:hanging="1418"/>
      <w:jc w:val="left"/>
    </w:pPr>
    <w:rPr>
      <w:b/>
    </w:rPr>
  </w:style>
  <w:style w:type="paragraph" w:styleId="Revision">
    <w:name w:val="Revision"/>
    <w:hidden/>
    <w:uiPriority w:val="99"/>
    <w:semiHidden/>
    <w:rsid w:val="00EF62CF"/>
    <w:rPr>
      <w:rFonts w:ascii="Arial" w:hAnsi="Arial"/>
      <w:lang w:val="en-GB" w:eastAsia="zh-CN"/>
    </w:rPr>
  </w:style>
  <w:style w:type="paragraph" w:styleId="ListParagraph">
    <w:name w:val="List Paragraph"/>
    <w:basedOn w:val="Normal"/>
    <w:uiPriority w:val="34"/>
    <w:qFormat/>
    <w:rsid w:val="00954A43"/>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table" w:styleId="TableGrid">
    <w:name w:val="Table Grid"/>
    <w:basedOn w:val="TableNormal"/>
    <w:rsid w:val="000F1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dynareport/36889.htm"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SAQRZK7RPU5V-1-490</_dlc_DocId>
    <_dlc_DocIdUrl xmlns="08b2df90-05d3-4030-90d4-c9feeb4a1cd9">
      <Url>https://ericoll.internal.ericsson.com/sites/NSA/_layouts/DocIdRedir.aspx?ID=SAQRZK7RPU5V-1-490</Url>
      <Description>SAQRZK7RPU5V-1-490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2.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3.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6.xml><?xml version="1.0" encoding="utf-8"?>
<ds:datastoreItem xmlns:ds="http://schemas.openxmlformats.org/officeDocument/2006/customXml" ds:itemID="{E5622BEE-3C41-466A-8527-ADB3382D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44</TotalTime>
  <Pages>4</Pages>
  <Words>1811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Daniel Larsson</cp:lastModifiedBy>
  <cp:revision>11</cp:revision>
  <cp:lastPrinted>2008-01-31T07:09:00Z</cp:lastPrinted>
  <dcterms:created xsi:type="dcterms:W3CDTF">2016-04-01T14:34:00Z</dcterms:created>
  <dcterms:modified xsi:type="dcterms:W3CDTF">2016-04-01T18:18:00Z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e42a8b39-83d3-49fc-a268-2c014ca63428</vt:lpwstr>
  </property>
</Properties>
</file>